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atLeast"/>
        <w:ind w:firstLine="0" w:firstLineChars="0"/>
        <w:jc w:val="center"/>
        <w:rPr>
          <w:rFonts w:hint="eastAsia" w:ascii="方正小标宋简体" w:hAnsi="仿宋" w:eastAsia="方正小标宋简体" w:cs="宋体"/>
          <w:color w:val="4B4B4B"/>
          <w:kern w:val="0"/>
          <w:sz w:val="44"/>
          <w:szCs w:val="44"/>
        </w:rPr>
      </w:pPr>
      <w:r>
        <w:rPr>
          <w:rFonts w:hint="eastAsia" w:ascii="方正小标宋简体" w:hAnsi="仿宋" w:eastAsia="方正小标宋简体" w:cs="宋体"/>
          <w:bCs/>
          <w:color w:val="4B4B4B"/>
          <w:kern w:val="0"/>
          <w:sz w:val="44"/>
          <w:szCs w:val="44"/>
        </w:rPr>
        <w:t>“双万计划”国家级一流本科课程</w:t>
      </w:r>
    </w:p>
    <w:p>
      <w:pPr>
        <w:shd w:val="clear" w:color="auto" w:fill="FFFFFF"/>
        <w:spacing w:line="700" w:lineRule="atLeast"/>
        <w:ind w:firstLine="0" w:firstLineChars="0"/>
        <w:jc w:val="center"/>
        <w:rPr>
          <w:rFonts w:hint="eastAsia" w:ascii="方正小标宋简体" w:hAnsi="仿宋" w:eastAsia="方正小标宋简体" w:cs="宋体"/>
          <w:color w:val="4B4B4B"/>
          <w:kern w:val="0"/>
          <w:sz w:val="44"/>
          <w:szCs w:val="44"/>
        </w:rPr>
      </w:pPr>
      <w:r>
        <w:rPr>
          <w:rFonts w:hint="eastAsia" w:ascii="方正小标宋简体" w:hAnsi="仿宋" w:eastAsia="方正小标宋简体" w:cs="宋体"/>
          <w:bCs/>
          <w:color w:val="4B4B4B"/>
          <w:kern w:val="0"/>
          <w:sz w:val="44"/>
          <w:szCs w:val="44"/>
        </w:rPr>
        <w:t>推荐认定办法</w:t>
      </w:r>
    </w:p>
    <w:p>
      <w:pPr>
        <w:shd w:val="clear" w:color="auto" w:fill="FFFFFF"/>
        <w:spacing w:line="480" w:lineRule="atLeast"/>
        <w:ind w:firstLine="0" w:firstLineChars="0"/>
        <w:jc w:val="left"/>
        <w:rPr>
          <w:rFonts w:hint="eastAsia" w:ascii="黑体" w:hAnsi="黑体" w:eastAsia="黑体" w:cs="宋体"/>
          <w:color w:val="4B4B4B"/>
          <w:kern w:val="0"/>
          <w:szCs w:val="32"/>
        </w:rPr>
      </w:pPr>
      <w:r>
        <w:rPr>
          <w:rFonts w:hint="eastAsia" w:ascii="仿宋" w:hAnsi="仿宋" w:cs="宋体"/>
          <w:color w:val="4B4B4B"/>
          <w:kern w:val="0"/>
          <w:szCs w:val="32"/>
        </w:rPr>
        <w:t>　</w:t>
      </w:r>
      <w:r>
        <w:rPr>
          <w:rFonts w:hint="eastAsia" w:ascii="黑体" w:hAnsi="黑体" w:eastAsia="黑体" w:cs="宋体"/>
          <w:color w:val="4B4B4B"/>
          <w:kern w:val="0"/>
          <w:szCs w:val="32"/>
        </w:rPr>
        <w:t>　</w:t>
      </w:r>
      <w:r>
        <w:rPr>
          <w:rFonts w:hint="eastAsia" w:ascii="黑体" w:hAnsi="黑体" w:eastAsia="黑体" w:cs="宋体"/>
          <w:bCs/>
          <w:color w:val="4B4B4B"/>
          <w:kern w:val="0"/>
          <w:szCs w:val="32"/>
        </w:rPr>
        <w:t>一、推荐范围</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普通本科高校纳入人才培养方案且设置学分的本科课程均可推荐，包括思想政治理论课、公共基础课、专业基础课、专业课以及通识课等独立设置的本科理论课程、实验课程和社会实践课程等。</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w:t>
      </w:r>
      <w:r>
        <w:rPr>
          <w:rFonts w:hint="eastAsia" w:ascii="黑体" w:hAnsi="黑体" w:eastAsia="黑体" w:cs="宋体"/>
          <w:color w:val="4B4B4B"/>
          <w:kern w:val="0"/>
          <w:szCs w:val="32"/>
        </w:rPr>
        <w:t>二、推荐类型与计划</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一）线上一流课程。即国家精品在线开放课程，突出优质、开放、共享，打造中国慕课品牌。完成4000门左右国家精品在线开放课程认定，构建内容更加丰富、结构更加合理、类别更加全面的国家级精品慕课体系。</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四）虚拟仿真实验教学一流课程。着力解决真实实验条件不具备或实际运行困难，涉及高危或极端环境，高成本、高消耗、不可逆操作、大型综合训练等问题。完成1500门左右国家虚拟仿真实验教学一流课程认定，形成专业布局合理、教学效果优良、开放共享有效的高等教育信息化实验教学体系。</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w:t>
      </w:r>
      <w:r>
        <w:rPr>
          <w:rFonts w:hint="eastAsia" w:ascii="黑体" w:hAnsi="黑体" w:eastAsia="黑体" w:cs="宋体"/>
          <w:color w:val="4B4B4B"/>
          <w:kern w:val="0"/>
          <w:szCs w:val="32"/>
        </w:rPr>
        <w:t>三、推荐条件</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（一）教学理念先进。坚持立德树人，体现以学生发展为中心，致力于开启学生内在潜力和学习动力，注重学生德智体美劳全面发展。</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二）课程教学团队教学成果显著。课程团队教学改革意识强烈、理念先进，人员结构及任务分工合理。主讲教师具备良好的师德师风，具有丰富的教学经验、较高学术造诣，积极投身教学改革，教学能力强，能够运用新技术提高教学效率、提升教学质量。</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（三）课程目标有效支撑培养目标达成。课程目标符合学校办学定位和人才培养目标，注重知识、能力、素质培养。</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（四）课程教学设计科学合理。围绕目标达成、教学内容、组织实施和多元评价需求进行整体规划，教学策略、教学方法、教学过程、教学评价等设计合理。</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（六）教学组织与实施突出学生中心地位。根据学生认知规律和接受特点，创新教与学模式，因材施教，促进师生之间、学生之间的交流互动、资源共享、知识生成，教学反馈及时，教学效果显著。</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（七）课程管理与评价科学且可测量。教师备课要求明确，学生学习管理严格。针对教学目标、教学内容、教学组织等采用多元化考核评价，过程可回溯，诊断改进积极有效。教学过程材料完整，可借鉴可监督。</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w:t>
      </w:r>
      <w:r>
        <w:rPr>
          <w:rFonts w:hint="eastAsia" w:ascii="黑体" w:hAnsi="黑体" w:eastAsia="黑体" w:cs="宋体"/>
          <w:color w:val="4B4B4B"/>
          <w:kern w:val="0"/>
          <w:szCs w:val="32"/>
        </w:rPr>
        <w:t>四、推荐方式</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除线上一流课程、虚拟仿真实验教学一流课程继续按有关文件实施外，线下一流课程、线上线下混合式一流课程和社会实践一流课程采用以下推荐方式。</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（一）推荐总额</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教育部按照国家级线下一流课程、线上线下混合式一流课程和社会实践一流课程三年计划总数确定推荐总额，分别下达至中央部门所属高校和各省级教育行政部门。</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（二）分赛道推荐</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按照中央部门所属高校、地方高校的办学定位和培养目标特点分赛道推荐，名额分列。部省合建高校推荐课程纳入中央部门所属高校赛道。</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（三）推荐方式</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（四）推荐材料要求</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课程团队须提交申报书、时长10分钟内的说课视频（包括教学理念、课程设计、课程实施、改革成效等）和其他佐证材料。</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w:t>
      </w:r>
      <w:r>
        <w:rPr>
          <w:rFonts w:hint="eastAsia" w:ascii="黑体" w:hAnsi="黑体" w:eastAsia="黑体" w:cs="宋体"/>
          <w:color w:val="4B4B4B"/>
          <w:kern w:val="0"/>
          <w:szCs w:val="32"/>
        </w:rPr>
        <w:t>　五、认定方式</w:t>
      </w:r>
    </w:p>
    <w:p>
      <w:pPr>
        <w:shd w:val="clear" w:color="auto" w:fill="FFFFFF"/>
        <w:spacing w:line="480" w:lineRule="atLeast"/>
        <w:ind w:firstLine="0" w:firstLineChars="0"/>
        <w:jc w:val="left"/>
        <w:rPr>
          <w:rFonts w:hint="eastAsia" w:ascii="仿宋" w:hAnsi="仿宋" w:cs="宋体"/>
          <w:color w:val="4B4B4B"/>
          <w:kern w:val="0"/>
          <w:szCs w:val="32"/>
        </w:rPr>
      </w:pPr>
      <w:r>
        <w:rPr>
          <w:rFonts w:hint="eastAsia" w:ascii="仿宋" w:hAnsi="仿宋" w:cs="宋体"/>
          <w:color w:val="4B4B4B"/>
          <w:kern w:val="0"/>
          <w:szCs w:val="32"/>
        </w:rPr>
        <w:t>　　教育部分年度组织专家对推荐课程进行认定，经公示后向社会发布。对课程团队成员存在师德师风问题、学术不端问题、五年内出现过重大教学事故，课程内容存在思想性科学性问题的，实行一票否决。</w:t>
      </w:r>
    </w:p>
    <w:p>
      <w:pPr>
        <w:shd w:val="clear" w:color="auto" w:fill="FFFFFF"/>
        <w:spacing w:line="480" w:lineRule="atLeast"/>
        <w:ind w:firstLine="0" w:firstLineChars="0"/>
        <w:jc w:val="left"/>
        <w:rPr>
          <w:rFonts w:hint="eastAsia" w:ascii="黑体" w:hAnsi="黑体" w:eastAsia="黑体" w:cs="宋体"/>
          <w:color w:val="4B4B4B"/>
          <w:kern w:val="0"/>
          <w:szCs w:val="32"/>
        </w:rPr>
      </w:pPr>
      <w:r>
        <w:rPr>
          <w:rFonts w:hint="eastAsia" w:ascii="黑体" w:hAnsi="黑体" w:eastAsia="黑体" w:cs="宋体"/>
          <w:color w:val="4B4B4B"/>
          <w:kern w:val="0"/>
          <w:szCs w:val="32"/>
        </w:rPr>
        <w:t>　　六、认定课程管理</w:t>
      </w:r>
    </w:p>
    <w:p>
      <w:pPr>
        <w:shd w:val="clear" w:color="auto" w:fill="FFFFFF"/>
        <w:spacing w:line="480" w:lineRule="atLeast"/>
        <w:ind w:firstLine="640" w:firstLineChars="0"/>
        <w:jc w:val="left"/>
        <w:rPr>
          <w:rFonts w:hint="eastAsia" w:ascii="仿宋" w:hAnsi="仿宋" w:cs="宋体"/>
          <w:color w:val="4B4B4B"/>
          <w:kern w:val="0"/>
          <w:szCs w:val="32"/>
        </w:rPr>
      </w:pPr>
      <w:r>
        <w:rPr>
          <w:rFonts w:hint="eastAsia" w:ascii="仿宋" w:hAnsi="仿宋" w:cs="宋体"/>
          <w:color w:val="4B4B4B"/>
          <w:kern w:val="0"/>
          <w:szCs w:val="32"/>
        </w:rPr>
        <w:t>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 w:hAnsi="仿宋" w:eastAsia="仿宋" w:cs="仿宋"/>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22D2FD-D759-4D99-A0C7-E090D43CCD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A2A2ACD-A18F-4819-8D29-FCBD722ABF90}"/>
  </w:font>
  <w:font w:name="方正小标宋简体">
    <w:panose1 w:val="02000000000000000000"/>
    <w:charset w:val="86"/>
    <w:family w:val="script"/>
    <w:pitch w:val="default"/>
    <w:sig w:usb0="00000001" w:usb1="08000000" w:usb2="00000000" w:usb3="00000000" w:csb0="00040000" w:csb1="00000000"/>
    <w:embedRegular r:id="rId3" w:fontKey="{402252BE-736F-4664-8C45-D89966C6FFC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lY2MyZDE4MzQ1N2QxZGQ3YmY0MjY2ZDRmZTVkZjgifQ=="/>
  </w:docVars>
  <w:rsids>
    <w:rsidRoot w:val="32D27660"/>
    <w:rsid w:val="3D8C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eastAsia="仿宋" w:asciiTheme="minorHAnsi" w:hAnsiTheme="minorHAnsi" w:cstheme="minorBidi"/>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230</Characters>
  <Lines>0</Lines>
  <Paragraphs>0</Paragraphs>
  <TotalTime>1</TotalTime>
  <ScaleCrop>false</ScaleCrop>
  <LinksUpToDate>false</LinksUpToDate>
  <CharactersWithSpaces>234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2023-04-25T02:43:00Z</dcterms:created>
  <dc:creator>qzuser</dc:creator>
  <cp:lastModifiedBy>qzuser</cp:lastModifiedBy>
  <dcterms:modified xsi:type="dcterms:W3CDTF">2023-04-26T02:04:16Z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6EC9D9E0C5FC417A96A7522496B619A3_11</vt:lpwstr>
  </property>
</Properties>
</file>