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560" w:lineRule="atLeast"/>
        <w:rPr>
          <w:rFonts w:hint="eastAsia" w:ascii="仿宋_GB2312" w:eastAsia="仿宋_GB2312" w:cs="Times New Roman" w:hAnsiTheme="majorEastAsia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 w:hAnsiTheme="majorEastAsia"/>
          <w:bCs/>
          <w:color w:val="000000"/>
          <w:sz w:val="32"/>
          <w:szCs w:val="32"/>
        </w:rPr>
        <w:t>附件</w:t>
      </w:r>
      <w:r>
        <w:rPr>
          <w:rFonts w:hint="eastAsia" w:ascii="仿宋_GB2312" w:eastAsia="仿宋_GB2312" w:cs="Times New Roman" w:hAnsiTheme="majorEastAsia"/>
          <w:bCs/>
          <w:color w:val="000000"/>
          <w:sz w:val="32"/>
          <w:szCs w:val="32"/>
          <w:lang w:val="en-US" w:eastAsia="zh-CN"/>
        </w:rPr>
        <w:t>5</w:t>
      </w:r>
    </w:p>
    <w:p>
      <w:pPr>
        <w:adjustRightInd/>
        <w:snapToGrid/>
        <w:spacing w:after="0" w:line="560" w:lineRule="atLeast"/>
        <w:jc w:val="center"/>
        <w:rPr>
          <w:rFonts w:cs="Times New Roman"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000000"/>
          <w:sz w:val="44"/>
          <w:szCs w:val="44"/>
        </w:rPr>
        <w:t>长春大学旅游学院</w:t>
      </w:r>
    </w:p>
    <w:p>
      <w:pPr>
        <w:adjustRightInd/>
        <w:snapToGrid/>
        <w:spacing w:after="0" w:line="560" w:lineRule="atLeast"/>
        <w:jc w:val="center"/>
        <w:rPr>
          <w:rFonts w:cs="Times New Roman"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b/>
          <w:bCs/>
          <w:color w:val="000000"/>
          <w:sz w:val="44"/>
          <w:szCs w:val="44"/>
        </w:rPr>
        <w:t>教学名师说课环节安排</w:t>
      </w:r>
    </w:p>
    <w:p>
      <w:pPr>
        <w:adjustRightInd/>
        <w:snapToGrid/>
        <w:spacing w:after="0" w:line="600" w:lineRule="atLeast"/>
        <w:ind w:firstLine="643"/>
        <w:jc w:val="both"/>
        <w:rPr>
          <w:rFonts w:ascii="黑体" w:hAnsi="宋体" w:eastAsia="黑体" w:cs="宋体"/>
          <w:color w:val="000000"/>
          <w:sz w:val="24"/>
          <w:szCs w:val="24"/>
        </w:rPr>
      </w:pPr>
      <w:r>
        <w:rPr>
          <w:rFonts w:hint="eastAsia" w:ascii="黑体" w:hAnsi="宋体" w:eastAsia="黑体" w:cs="宋体"/>
          <w:b/>
          <w:bCs/>
          <w:color w:val="000000"/>
          <w:sz w:val="32"/>
          <w:szCs w:val="32"/>
        </w:rPr>
        <w:t>一、参加人员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参加教学名师遴选的候选人需参加说课环节。</w:t>
      </w:r>
    </w:p>
    <w:p>
      <w:pPr>
        <w:adjustRightInd/>
        <w:snapToGrid/>
        <w:spacing w:after="0" w:line="600" w:lineRule="atLeast"/>
        <w:ind w:firstLine="643"/>
        <w:rPr>
          <w:rFonts w:ascii="黑体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color w:val="000000"/>
          <w:sz w:val="32"/>
          <w:szCs w:val="32"/>
        </w:rPr>
        <w:t>二、说课内容</w:t>
      </w:r>
    </w:p>
    <w:p>
      <w:pPr>
        <w:adjustRightInd/>
        <w:snapToGrid/>
        <w:spacing w:after="0" w:line="600" w:lineRule="atLeast"/>
        <w:ind w:firstLine="643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bCs/>
          <w:color w:val="000000"/>
          <w:sz w:val="32"/>
          <w:szCs w:val="32"/>
        </w:rPr>
        <w:t>说课内容必须是候选人主讲课程。</w:t>
      </w:r>
    </w:p>
    <w:p>
      <w:pPr>
        <w:adjustRightInd/>
        <w:snapToGrid/>
        <w:spacing w:after="0" w:line="600" w:lineRule="atLeast"/>
        <w:ind w:firstLine="627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1.课程定位：对该课程在专业人才培养目标和课程体系中的地位和作用进行分析。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2.教学内容：如何根据人才培养目标，优化课程内容，进行模块化设计；课程能力目标是否明确，课程标准是否科学合理。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3.课程资源：对课程的教学团队、教学设施、教学资源库、教材及实习实训等资源建设情况进行说明分析。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4.实施过程：课程教学模式是否能够体现“教、学、做”一体化教学模式，突出学生综合能力的培养和技能训练。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5.教学考核：评述课程考核的方式方法，该考核评价体系是否多元化，是否重视综合实践能力的考核与评价。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6.教学效果：用例证说明教学效果——如课程授课能够体现对学生能力和素质的培养，学生职业技能效果等。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7.改革思路：能否提出创新性的课程改革与建设思路，且可行性和操作行强。</w:t>
      </w:r>
    </w:p>
    <w:p>
      <w:pPr>
        <w:adjustRightInd/>
        <w:snapToGrid/>
        <w:spacing w:after="0" w:line="600" w:lineRule="atLeast"/>
        <w:ind w:firstLine="643"/>
        <w:rPr>
          <w:rFonts w:ascii="黑体" w:hAnsi="Times New Roman" w:eastAsia="黑体" w:cs="Times New Roman"/>
          <w:color w:val="000000"/>
          <w:sz w:val="21"/>
          <w:szCs w:val="21"/>
        </w:rPr>
      </w:pPr>
      <w:r>
        <w:rPr>
          <w:rFonts w:hint="eastAsia" w:ascii="黑体" w:hAnsi="Times New Roman" w:eastAsia="黑体" w:cs="Times New Roman"/>
          <w:b/>
          <w:bCs/>
          <w:color w:val="000000"/>
          <w:sz w:val="32"/>
          <w:szCs w:val="32"/>
        </w:rPr>
        <w:t>三、说课要求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1.教师名师候选人按照说课的内容要求进行认真准备，应充分体现先进教育理念，注意突出特色、亮点与创新点。说课时要求使用PPT课件。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2.说课思路清晰，逻辑性强，论述准确，表达流畅。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3.在教学模式和教学方法上体现改革与创新。</w:t>
      </w:r>
    </w:p>
    <w:p>
      <w:pPr>
        <w:adjustRightInd/>
        <w:snapToGrid/>
        <w:spacing w:after="0" w:line="600" w:lineRule="atLeast"/>
        <w:ind w:firstLine="64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4.说课环节每人限时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分钟。</w:t>
      </w:r>
    </w:p>
    <w:p>
      <w:pPr>
        <w:adjustRightInd/>
        <w:snapToGrid/>
        <w:spacing w:after="0" w:line="600" w:lineRule="atLeast"/>
        <w:ind w:firstLine="643"/>
        <w:rPr>
          <w:rFonts w:ascii="黑体" w:hAnsi="Times New Roman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color w:val="000000"/>
          <w:sz w:val="32"/>
          <w:szCs w:val="32"/>
        </w:rPr>
        <w:t>四、说课评分标准</w:t>
      </w:r>
    </w:p>
    <w:p>
      <w:pPr>
        <w:adjustRightInd/>
        <w:snapToGrid/>
        <w:spacing w:after="0" w:line="600" w:lineRule="atLeast"/>
        <w:ind w:firstLine="64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详见《长春大学旅游学院教学名师遴选说课环节评分标准》</w:t>
      </w:r>
    </w:p>
    <w:p>
      <w:pPr>
        <w:adjustRightInd/>
        <w:snapToGrid/>
        <w:spacing w:after="0" w:line="600" w:lineRule="atLeast"/>
        <w:ind w:firstLine="6400" w:firstLineChars="200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教务处  </w:t>
      </w:r>
    </w:p>
    <w:p>
      <w:pPr>
        <w:adjustRightInd/>
        <w:snapToGrid/>
        <w:spacing w:after="0" w:line="600" w:lineRule="atLeast"/>
        <w:ind w:firstLine="640"/>
        <w:jc w:val="right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                           201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日</w:t>
      </w:r>
    </w:p>
    <w:p/>
    <w:p>
      <w:pPr>
        <w:spacing w:line="4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4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长春大学旅游学院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outlineLvl w:val="9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教学名师遴选说课环节评分标准</w:t>
      </w:r>
    </w:p>
    <w:p>
      <w:pPr>
        <w:spacing w:line="400" w:lineRule="exact"/>
        <w:ind w:firstLine="118" w:firstLineChars="49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b/>
          <w:sz w:val="24"/>
        </w:rPr>
        <w:t>院（部）</w:t>
      </w:r>
      <w:r>
        <w:rPr>
          <w:rFonts w:hint="eastAsia" w:ascii="仿宋_GB2312" w:eastAsia="仿宋_GB2312"/>
          <w:sz w:val="24"/>
        </w:rPr>
        <w:t xml:space="preserve">：                   </w:t>
      </w:r>
      <w:r>
        <w:rPr>
          <w:rFonts w:hint="eastAsia" w:ascii="仿宋_GB2312" w:eastAsia="仿宋_GB2312"/>
          <w:b/>
          <w:sz w:val="24"/>
        </w:rPr>
        <w:t>课程名称</w:t>
      </w:r>
      <w:r>
        <w:rPr>
          <w:rFonts w:hint="eastAsia" w:ascii="仿宋_GB2312" w:eastAsia="仿宋_GB2312"/>
          <w:sz w:val="24"/>
        </w:rPr>
        <w:t xml:space="preserve"> ：           </w:t>
      </w:r>
      <w:r>
        <w:rPr>
          <w:rFonts w:hint="eastAsia" w:ascii="仿宋_GB2312" w:eastAsia="仿宋_GB2312"/>
          <w:b/>
          <w:sz w:val="24"/>
        </w:rPr>
        <w:t xml:space="preserve">   说课人：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775"/>
        <w:gridCol w:w="82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 标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评价标准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分 值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定位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对课程在专业人才培养目标和课程体系中的地位和作用分析到位。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根据人才培养目标，优化课程内容，</w:t>
            </w:r>
            <w:r>
              <w:rPr>
                <w:rFonts w:hint="eastAsia" w:ascii="仿宋_GB2312" w:hAnsi="宋体" w:eastAsia="仿宋_GB2312"/>
                <w:sz w:val="24"/>
              </w:rPr>
              <w:t>进行模块化设计；课程能力目标细化、明确，课程标准科学合理。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课程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资源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课程的教学团队、教学设施、教学资源库、教材及实习实训等资源建设情况良好。</w:t>
            </w:r>
          </w:p>
        </w:tc>
        <w:tc>
          <w:tcPr>
            <w:tcW w:w="8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过程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能够根据课程和学生特点，有针对性地采取理论与实践交替、任务驱动、项目导向等体现“教、学、做”一体化教学模式组织教学，技能训练项目操作性强，有利于激发学生的学习兴趣，突出对学生综合能力的培养和技能训练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2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课程考核评价体系多元化，重视学习过程评价，注重综合实践能力考核与评价。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效果</w:t>
            </w:r>
          </w:p>
        </w:tc>
        <w:tc>
          <w:tcPr>
            <w:tcW w:w="5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授课过程能够体现对学生能力和素质的培养，学生职业技能熟练，教学效果良好，且有丰富的例证说明。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0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改革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思路</w:t>
            </w:r>
          </w:p>
        </w:tc>
        <w:tc>
          <w:tcPr>
            <w:tcW w:w="5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教育理念先进，能够针对课程存在问题提出课程改革与建设思路，目标明确，操作性和可行性强。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整体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印象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语言精练，仪态大方，研究透彻，见解精到，多媒体设计美观新颖，层次清晰，内容充实，整体效果好。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评委</w:t>
            </w:r>
          </w:p>
        </w:tc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总分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5C9F"/>
    <w:rsid w:val="0017024D"/>
    <w:rsid w:val="0021637D"/>
    <w:rsid w:val="00217FC9"/>
    <w:rsid w:val="00323B43"/>
    <w:rsid w:val="0033743B"/>
    <w:rsid w:val="003D37D8"/>
    <w:rsid w:val="00426133"/>
    <w:rsid w:val="004358AB"/>
    <w:rsid w:val="00527008"/>
    <w:rsid w:val="00584094"/>
    <w:rsid w:val="008422A8"/>
    <w:rsid w:val="00854DE7"/>
    <w:rsid w:val="008935A6"/>
    <w:rsid w:val="008A4C67"/>
    <w:rsid w:val="008B7726"/>
    <w:rsid w:val="00A81EF1"/>
    <w:rsid w:val="00AB528E"/>
    <w:rsid w:val="00B253A5"/>
    <w:rsid w:val="00BF16E8"/>
    <w:rsid w:val="00C165AD"/>
    <w:rsid w:val="00D31D50"/>
    <w:rsid w:val="00D44561"/>
    <w:rsid w:val="00D80998"/>
    <w:rsid w:val="00DB6420"/>
    <w:rsid w:val="00EF0BB0"/>
    <w:rsid w:val="00FD2C62"/>
    <w:rsid w:val="0B2313A1"/>
    <w:rsid w:val="28B1076A"/>
    <w:rsid w:val="7BA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apple-converted-space"/>
    <w:basedOn w:val="6"/>
    <w:qFormat/>
    <w:uiPriority w:val="0"/>
  </w:style>
  <w:style w:type="character" w:customStyle="1" w:styleId="10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179</Words>
  <Characters>1024</Characters>
  <Lines>8</Lines>
  <Paragraphs>2</Paragraphs>
  <TotalTime>175</TotalTime>
  <ScaleCrop>false</ScaleCrop>
  <LinksUpToDate>false</LinksUpToDate>
  <CharactersWithSpaces>1201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2018-12-03T02:03:11Z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