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日—2023年6月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科研创新平台优化重组工作部署会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相关校领导，科研处、财务处、人事处、资产管理处、校内各科研机构负责人，各学院院长、科研副院长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党委理论学习中心组（扩大）会议——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《当前我国意识形态安全面临的挑战与对策》报告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党委宣传部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党委理论学习中心组成员、科级以上干部、各基层党组织党务干部及全体辅导员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马克思主义学院全体教师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职称分组评审问题（编著、教材）研究会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学术道德委员会成员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吉林省新文科“长白山大讲堂”活动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教务处、学校办公室、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</w:t>
            </w:r>
            <w:r>
              <w:rPr>
                <w:rFonts w:hint="eastAsia" w:ascii="宋体" w:hAnsi="宋体"/>
                <w:b/>
                <w:szCs w:val="21"/>
              </w:rPr>
              <w:t>宣传部、团委、后勤处、后勤服务中心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网络中心、旅游文化学院负责人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“专创融合”示范课程遴选会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评审人员、课程负责人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8:00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第十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Cs w:val="21"/>
              </w:rPr>
              <w:t>届田径运动会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全校师生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1DF442BA"/>
    <w:rsid w:val="291E0523"/>
    <w:rsid w:val="3FAE5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555</Words>
  <Characters>597</Characters>
  <Lines>5</Lines>
  <Paragraphs>1</Paragraphs>
  <TotalTime>4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2023-05-30T08:12:00Z</dcterms:created>
  <dc:creator>微软用户</dc:creator>
  <cp:lastModifiedBy>姚迪</cp:lastModifiedBy>
  <cp:lastPrinted>2023-06-05T00:50:15Z</cp:lastPrinted>
  <dcterms:modified xsi:type="dcterms:W3CDTF">2023-06-05T00:55:18Z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EDD9B9B5AF2F41D9905CB1ADA473B8E1_13</vt:lpwstr>
  </property>
</Properties>
</file>