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长春大学旅游学院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课堂教学运行管理规定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黑体" w:hAnsi="黑体" w:eastAsia="黑体" w:cs="黑体"/>
          <w:sz w:val="32"/>
          <w:szCs w:val="32"/>
        </w:rPr>
      </w:pPr>
      <w:r>
        <w:rPr>
          <w:rFonts w:hint="eastAsia" w:ascii="黑体" w:hAnsi="黑体" w:eastAsia="黑体" w:cs="黑体"/>
          <w:sz w:val="32"/>
          <w:szCs w:val="32"/>
        </w:rPr>
        <w:t>第一章 总则</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为进一步落实学校“创新发展、特色发展、规范发展”的内涵建设要求，加强课堂教学运行管理的科学化、规范化，切实提高管理水平和教学质量，保障人才培养目标的实现，现制定本规定。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仿宋_GB2312" w:eastAsia="仿宋_GB2312"/>
          <w:sz w:val="32"/>
          <w:szCs w:val="32"/>
        </w:rPr>
      </w:pPr>
      <w:r>
        <w:rPr>
          <w:rFonts w:hint="eastAsia" w:ascii="黑体" w:hAnsi="黑体" w:eastAsia="黑体" w:cs="黑体"/>
          <w:sz w:val="32"/>
          <w:szCs w:val="32"/>
        </w:rPr>
        <w:t>第二章 教学计划录入</w:t>
      </w:r>
    </w:p>
    <w:p>
      <w:pPr>
        <w:numPr>
          <w:ilvl w:val="255"/>
          <w:numId w:val="0"/>
        </w:numPr>
        <w:adjustRightInd w:val="0"/>
        <w:snapToGrid w:val="0"/>
        <w:spacing w:line="700" w:lineRule="exact"/>
        <w:ind w:firstLine="643" w:firstLineChars="200"/>
        <w:rPr>
          <w:rFonts w:ascii="仿宋" w:hAnsi="仿宋" w:eastAsia="仿宋" w:cs="仿宋"/>
          <w:sz w:val="32"/>
          <w:szCs w:val="32"/>
        </w:rPr>
      </w:pPr>
      <w:r>
        <w:rPr>
          <w:rFonts w:hint="eastAsia" w:ascii="仿宋_GB2312" w:eastAsia="仿宋_GB2312"/>
          <w:b/>
          <w:bCs/>
          <w:sz w:val="32"/>
          <w:szCs w:val="32"/>
        </w:rPr>
        <w:t xml:space="preserve">第二条  </w:t>
      </w:r>
      <w:r>
        <w:rPr>
          <w:rFonts w:hint="eastAsia" w:ascii="仿宋" w:hAnsi="仿宋" w:eastAsia="仿宋" w:cs="仿宋"/>
          <w:sz w:val="32"/>
          <w:szCs w:val="32"/>
        </w:rPr>
        <w:t>各教学单位依据人才培养方案按照教务处规定先后顺序及时间安排，分批次在教务管理系统中录入学期教学计划，具体流程详见附件。</w:t>
      </w:r>
    </w:p>
    <w:p>
      <w:pPr>
        <w:numPr>
          <w:ilvl w:val="255"/>
          <w:numId w:val="0"/>
        </w:num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各教学单位负责人需严肃审查所录数据的准确性，保证人才培养方案精准执行。教师聘任及教学任务安排依据《长春大学旅游学院教师工作量计算及课时酬金发放办法（试行）》及《长春大学旅游学院外聘教师管理实施办法》中</w:t>
      </w:r>
      <w:r>
        <w:rPr>
          <w:rFonts w:hint="eastAsia" w:ascii="仿宋_GB2312" w:eastAsia="仿宋_GB2312"/>
          <w:sz w:val="32"/>
          <w:szCs w:val="32"/>
        </w:rPr>
        <w:t>的相关规定执行。</w:t>
      </w:r>
    </w:p>
    <w:p>
      <w:pPr>
        <w:numPr>
          <w:ilvl w:val="255"/>
          <w:numId w:val="0"/>
        </w:numPr>
        <w:adjustRightInd w:val="0"/>
        <w:snapToGrid w:val="0"/>
        <w:spacing w:line="70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培养方案及开课信息一经确认不得随意变动。执行过程中如果确需对方案作局部调整时，应在下发课表之前，由各教研室提出申请，填写</w:t>
      </w:r>
      <w:r>
        <w:rPr>
          <w:rFonts w:hint="eastAsia" w:ascii="仿宋" w:hAnsi="仿宋" w:eastAsia="仿宋" w:cs="仿宋"/>
          <w:color w:val="auto"/>
          <w:sz w:val="32"/>
          <w:szCs w:val="32"/>
        </w:rPr>
        <w:t>《长春大学旅游学院教学计划变更单》，经所在教学单位负责人同意，教务处审核，</w:t>
      </w:r>
      <w:r>
        <w:rPr>
          <w:rFonts w:hint="eastAsia" w:ascii="仿宋" w:hAnsi="仿宋" w:eastAsia="仿宋" w:cs="仿宋"/>
          <w:sz w:val="32"/>
          <w:szCs w:val="32"/>
        </w:rPr>
        <w:t>主管校领导批准后方可执行。</w:t>
      </w:r>
    </w:p>
    <w:p>
      <w:pPr>
        <w:numPr>
          <w:ilvl w:val="255"/>
          <w:numId w:val="0"/>
        </w:numPr>
        <w:adjustRightInd w:val="0"/>
        <w:snapToGrid w:val="0"/>
        <w:spacing w:line="70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w:t>
      </w:r>
      <w:r>
        <w:rPr>
          <w:rFonts w:ascii="仿宋" w:hAnsi="仿宋" w:eastAsia="仿宋" w:cs="仿宋"/>
          <w:sz w:val="32"/>
          <w:szCs w:val="32"/>
        </w:rPr>
        <w:t>建立逐级教学报告制度。学校在教学</w:t>
      </w:r>
      <w:r>
        <w:rPr>
          <w:rFonts w:hint="eastAsia" w:ascii="仿宋" w:hAnsi="仿宋" w:eastAsia="仿宋" w:cs="仿宋"/>
          <w:sz w:val="32"/>
          <w:szCs w:val="32"/>
        </w:rPr>
        <w:t>运行</w:t>
      </w:r>
      <w:r>
        <w:rPr>
          <w:rFonts w:ascii="仿宋" w:hAnsi="仿宋" w:eastAsia="仿宋" w:cs="仿宋"/>
          <w:sz w:val="32"/>
          <w:szCs w:val="32"/>
        </w:rPr>
        <w:t>管理中实行逐级教学报告制度。即:</w:t>
      </w:r>
      <w:r>
        <w:rPr>
          <w:rFonts w:hint="eastAsia" w:ascii="仿宋" w:hAnsi="仿宋" w:eastAsia="仿宋" w:cs="仿宋"/>
          <w:sz w:val="32"/>
          <w:szCs w:val="32"/>
        </w:rPr>
        <w:t>教研室</w:t>
      </w:r>
      <w:r>
        <w:rPr>
          <w:rFonts w:ascii="仿宋" w:hAnsi="仿宋" w:eastAsia="仿宋" w:cs="仿宋"/>
          <w:sz w:val="32"/>
          <w:szCs w:val="32"/>
        </w:rPr>
        <w:t>要向</w:t>
      </w:r>
      <w:r>
        <w:rPr>
          <w:rFonts w:hint="eastAsia" w:ascii="仿宋" w:hAnsi="仿宋" w:eastAsia="仿宋" w:cs="仿宋"/>
          <w:sz w:val="32"/>
          <w:szCs w:val="32"/>
        </w:rPr>
        <w:t>所属教学单位</w:t>
      </w:r>
      <w:r>
        <w:rPr>
          <w:rFonts w:ascii="仿宋" w:hAnsi="仿宋" w:eastAsia="仿宋" w:cs="仿宋"/>
          <w:sz w:val="32"/>
          <w:szCs w:val="32"/>
        </w:rPr>
        <w:t>报告，教务处代表学校受理</w:t>
      </w:r>
      <w:r>
        <w:rPr>
          <w:rFonts w:hint="eastAsia" w:ascii="仿宋" w:hAnsi="仿宋" w:eastAsia="仿宋" w:cs="仿宋"/>
          <w:sz w:val="32"/>
          <w:szCs w:val="32"/>
        </w:rPr>
        <w:t>教学单位</w:t>
      </w:r>
      <w:r>
        <w:rPr>
          <w:rFonts w:ascii="仿宋" w:hAnsi="仿宋" w:eastAsia="仿宋" w:cs="仿宋"/>
          <w:sz w:val="32"/>
          <w:szCs w:val="32"/>
        </w:rPr>
        <w:t>报告，然后向主管校</w:t>
      </w:r>
      <w:r>
        <w:rPr>
          <w:rFonts w:hint="eastAsia" w:ascii="仿宋" w:hAnsi="仿宋" w:eastAsia="仿宋" w:cs="仿宋"/>
          <w:sz w:val="32"/>
          <w:szCs w:val="32"/>
        </w:rPr>
        <w:t>领导</w:t>
      </w:r>
      <w:r>
        <w:rPr>
          <w:rFonts w:ascii="仿宋" w:hAnsi="仿宋" w:eastAsia="仿宋" w:cs="仿宋"/>
          <w:sz w:val="32"/>
          <w:szCs w:val="32"/>
        </w:rPr>
        <w:t>和学校汇报。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仿宋_GB2312" w:eastAsia="仿宋_GB2312"/>
          <w:sz w:val="32"/>
          <w:szCs w:val="32"/>
        </w:rPr>
      </w:pPr>
      <w:r>
        <w:rPr>
          <w:rFonts w:hint="eastAsia" w:ascii="黑体" w:hAnsi="黑体" w:eastAsia="黑体" w:cs="黑体"/>
          <w:sz w:val="32"/>
          <w:szCs w:val="32"/>
        </w:rPr>
        <w:t>第三章 课程表编排及具体执行</w:t>
      </w:r>
    </w:p>
    <w:p>
      <w:pPr>
        <w:numPr>
          <w:ilvl w:val="255"/>
          <w:numId w:val="0"/>
        </w:num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w:t>
      </w:r>
      <w:r>
        <w:rPr>
          <w:rFonts w:hint="eastAsia" w:ascii="仿宋_GB2312" w:eastAsia="仿宋_GB2312"/>
          <w:sz w:val="32"/>
          <w:szCs w:val="32"/>
        </w:rPr>
        <w:t>应严格遵守人才培养方案及学校教学进程表（校历）安排课程。</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注重课程安排的科学性及顺序性。</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由各教学单位专业带头人或教研室主任负责课程接续性的审定及安排。</w:t>
      </w:r>
    </w:p>
    <w:p>
      <w:p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第九条</w:t>
      </w:r>
      <w:r>
        <w:rPr>
          <w:rFonts w:hint="eastAsia" w:ascii="黑体" w:eastAsia="黑体"/>
          <w:sz w:val="32"/>
          <w:szCs w:val="32"/>
        </w:rPr>
        <w:t xml:space="preserve">  </w:t>
      </w:r>
      <w:r>
        <w:rPr>
          <w:rFonts w:hint="eastAsia" w:ascii="仿宋" w:hAnsi="仿宋" w:eastAsia="仿宋" w:cs="仿宋"/>
          <w:sz w:val="32"/>
          <w:szCs w:val="32"/>
        </w:rPr>
        <w:t>分批次排课</w:t>
      </w:r>
      <w:r>
        <w:rPr>
          <w:rFonts w:hint="eastAsia" w:ascii="仿宋_GB2312" w:eastAsia="仿宋_GB2312"/>
          <w:sz w:val="32"/>
          <w:szCs w:val="32"/>
        </w:rPr>
        <w:t>。第一批次编排大学外语课的分级教学课程；第二批次编排学习筑梦课程等思想政治教育类课程；第三批次编排专业课及部分通识教育类课程；第四批次编排形势与政策、大学生职业生涯规划、创新创业教育、就业指导、大学生心理健康、文献检索、旅游文化专题等课程。排课过程中教学单位需尽量将专业课程安排在学生精力集中的时间段。</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原则上同一班级、同一课程（含精读课）每日授课时数不得超过2学时，（即一天内同一班级、同一课程不得四节连排，1-2节和7-8节同样视为连排）。设计类及艺术类专业课程可根据教学安排需要进行4学时连排。</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课表编排应体现科学性和合理性，不得出现某一教学日无课程或某一教学日课程排满的现象；同一班级每日授课时数和课程类型应适当安排，专业课和基础课应穿插讲授，尽量将上午时间排满。</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专业课及重要的公共基础课原则上应排在上午，其他课程（如体育课、就业指导课、大学生心理健康课程等）原则上不占用上午时间。</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体育课不得排在1-2节。</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艺术学院给定的基础课排课时间，应适量多于公共基础课的学时数；各门公共基础课应严格按照给定时间编排课表，不得擅自更改给定时间。</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教室安排应尽量合理，同一教师、同一学院学生的课，尽量在同一教室上课。人数较少的教学班应合理选择相对应类型的教室,避免资源浪费。各学院专业课应最大限度使用自己所在学院的教室，如该时间无本学院教室可用，可在同其他学院协商后进行资源共享。</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各部门在排课过程中需要进行合班操作时，可以将同一学院、同一专业的班级进行合班，不允许跨学院进行合班；公共基础课在安排合班时要与学院进行沟通，各学院需提前报备固定专业方向合班方案，保证各部门合班一致。</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外聘教师提供的排课时间，应适量多于拟排课程学时数，给出时间应趋于合理，同一门课，中间应适当间隔时间。</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实践教学周的基础课程上课安排如下：校内实践教学周所有公共基础课程正常上课；校外实践教学周所有课程一律停课顺延。（“校外实践教学周”包括在校外进行的所有实习活动，校历中标注符号为：×，其余校历上标明的实践环节均为“校内实践教学周”。）</w:t>
      </w:r>
    </w:p>
    <w:p>
      <w:p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第十九条</w:t>
      </w:r>
      <w:r>
        <w:rPr>
          <w:rFonts w:hint="eastAsia" w:ascii="黑体" w:eastAsia="黑体"/>
          <w:sz w:val="32"/>
          <w:szCs w:val="32"/>
        </w:rPr>
        <w:t xml:space="preserve">  </w:t>
      </w:r>
      <w:r>
        <w:rPr>
          <w:rFonts w:hint="eastAsia" w:ascii="仿宋_GB2312" w:eastAsia="仿宋_GB2312"/>
          <w:sz w:val="32"/>
          <w:szCs w:val="32"/>
        </w:rPr>
        <w:t>鼓励跨教学单位共享师资，相关教学单位在排课过程中注意使用同一教师账号，避免出现同一教师多个账号、多张课程表的情况。</w:t>
      </w:r>
    </w:p>
    <w:p>
      <w:p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第二十条</w:t>
      </w:r>
      <w:r>
        <w:rPr>
          <w:rFonts w:hint="eastAsia" w:ascii="黑体" w:eastAsia="黑体"/>
          <w:sz w:val="32"/>
          <w:szCs w:val="32"/>
        </w:rPr>
        <w:t xml:space="preserve">  </w:t>
      </w:r>
      <w:r>
        <w:rPr>
          <w:rFonts w:hint="eastAsia" w:ascii="仿宋_GB2312" w:eastAsia="仿宋_GB2312"/>
          <w:sz w:val="32"/>
          <w:szCs w:val="32"/>
        </w:rPr>
        <w:t>各教研室在安排教师授课任务时应优先考虑安排自有专职教师授课，保证自有专职教师完成工作量。</w:t>
      </w:r>
    </w:p>
    <w:p>
      <w:p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第二十一条</w:t>
      </w:r>
      <w:r>
        <w:rPr>
          <w:rFonts w:hint="eastAsia" w:ascii="仿宋_GB2312" w:eastAsia="仿宋_GB2312"/>
          <w:sz w:val="32"/>
          <w:szCs w:val="32"/>
        </w:rPr>
        <w:t xml:space="preserve">  专职教师不得按照自身意愿挑选上课时间、班级等，应听从教研室的统一安排。周一、周四下午为全校统一坐班时间，专职教师不得排课。</w:t>
      </w:r>
    </w:p>
    <w:p>
      <w:pPr>
        <w:adjustRightInd w:val="0"/>
        <w:snapToGrid w:val="0"/>
        <w:spacing w:line="700" w:lineRule="exact"/>
        <w:ind w:firstLine="643" w:firstLineChars="200"/>
        <w:rPr>
          <w:rFonts w:ascii="仿宋_GB2312" w:eastAsia="仿宋_GB2312"/>
          <w:sz w:val="32"/>
          <w:szCs w:val="32"/>
        </w:rPr>
      </w:pPr>
      <w:r>
        <w:rPr>
          <w:rFonts w:hint="eastAsia" w:ascii="仿宋" w:hAnsi="仿宋" w:eastAsia="仿宋" w:cs="仿宋"/>
          <w:b/>
          <w:bCs/>
          <w:sz w:val="32"/>
          <w:szCs w:val="32"/>
        </w:rPr>
        <w:t>第二十二条</w:t>
      </w:r>
      <w:r>
        <w:rPr>
          <w:rFonts w:hint="eastAsia" w:ascii="黑体" w:eastAsia="黑体"/>
          <w:sz w:val="32"/>
          <w:szCs w:val="32"/>
        </w:rPr>
        <w:t xml:space="preserve">  </w:t>
      </w:r>
      <w:r>
        <w:rPr>
          <w:rFonts w:hint="eastAsia" w:ascii="仿宋_GB2312" w:eastAsia="仿宋_GB2312"/>
          <w:sz w:val="32"/>
          <w:szCs w:val="32"/>
        </w:rPr>
        <w:t>课程安排实行专业带头人和教研室主任责任制。课程内容有前后承接要求的课程，必须严格按照课程开设先后顺序安排不得随意更改。授课教师首先应认真研究人才培养方案，要明确本课程在人才培养方案中的地位以及先修课程和后修课程与本课程之间的衔接关系。</w:t>
      </w:r>
    </w:p>
    <w:p>
      <w:pPr>
        <w:adjustRightInd w:val="0"/>
        <w:snapToGrid w:val="0"/>
        <w:spacing w:line="700" w:lineRule="exact"/>
        <w:ind w:firstLine="643" w:firstLineChars="200"/>
        <w:rPr>
          <w:rFonts w:ascii="仿宋_GB2312" w:eastAsia="仿宋_GB2312"/>
          <w:sz w:val="32"/>
          <w:szCs w:val="32"/>
        </w:rPr>
      </w:pPr>
      <w:r>
        <w:rPr>
          <w:rFonts w:hint="eastAsia" w:ascii="仿宋_GB2312" w:eastAsia="仿宋_GB2312"/>
          <w:b/>
          <w:bCs/>
          <w:sz w:val="32"/>
          <w:szCs w:val="32"/>
        </w:rPr>
        <w:t>第二十三条</w:t>
      </w:r>
      <w:r>
        <w:rPr>
          <w:rFonts w:hint="eastAsia" w:ascii="仿宋_GB2312" w:eastAsia="仿宋_GB2312"/>
          <w:sz w:val="32"/>
          <w:szCs w:val="32"/>
        </w:rPr>
        <w:t xml:space="preserve">  每学期执行的课表，应于前一学期末初步排定，新学期开学初进行微调。课程表采用教务管理系统编制，新学期开学前全校师生可登陆查看，课程表由教务处下发到各学院，教师课表及教室课表由各教学单位负责印发并放入教室课表架。课表一经排定后，任何人不得擅自随意更改（包括调换教室）。如有特殊情况确实需要调整时，由教研室向所在教学单位提出申请，并详细说明理由，经教务处批准后方可执行。</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700" w:lineRule="exact"/>
        <w:jc w:val="center"/>
        <w:textAlignment w:val="auto"/>
        <w:rPr>
          <w:rFonts w:ascii="黑体" w:hAnsi="黑体" w:eastAsia="黑体" w:cs="黑体"/>
          <w:sz w:val="32"/>
          <w:szCs w:val="32"/>
        </w:rPr>
      </w:pPr>
      <w:r>
        <w:rPr>
          <w:rFonts w:hint="eastAsia" w:ascii="黑体" w:hAnsi="黑体" w:eastAsia="黑体" w:cs="黑体"/>
          <w:sz w:val="32"/>
          <w:szCs w:val="32"/>
        </w:rPr>
        <w:t>第四章  附则</w:t>
      </w:r>
    </w:p>
    <w:p>
      <w:pPr>
        <w:adjustRightInd w:val="0"/>
        <w:snapToGrid w:val="0"/>
        <w:spacing w:line="700" w:lineRule="exac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b/>
          <w:bCs/>
          <w:sz w:val="32"/>
          <w:szCs w:val="32"/>
        </w:rPr>
        <w:t xml:space="preserve">第二十四条  </w:t>
      </w:r>
      <w:r>
        <w:rPr>
          <w:rFonts w:hint="eastAsia" w:ascii="仿宋_GB2312" w:eastAsia="仿宋_GB2312"/>
          <w:sz w:val="32"/>
          <w:szCs w:val="32"/>
        </w:rPr>
        <w:t>现有规定与本办法不符时，以本办法为准。</w:t>
      </w:r>
    </w:p>
    <w:p>
      <w:pPr>
        <w:adjustRightInd w:val="0"/>
        <w:snapToGrid w:val="0"/>
        <w:spacing w:line="7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 xml:space="preserve">第二十五条  </w:t>
      </w:r>
      <w:r>
        <w:rPr>
          <w:rFonts w:hint="eastAsia" w:ascii="仿宋_GB2312" w:eastAsia="仿宋_GB2312"/>
          <w:sz w:val="32"/>
          <w:szCs w:val="32"/>
        </w:rPr>
        <w:t>本办法自发布之日起执行，由教务处负责解释。</w:t>
      </w:r>
    </w:p>
    <w:p>
      <w:pPr>
        <w:jc w:val="both"/>
        <w:rPr>
          <w:rFonts w:hint="eastAsia" w:ascii="仿宋_GB2312" w:eastAsia="仿宋_GB2312"/>
          <w:sz w:val="32"/>
          <w:szCs w:val="32"/>
          <w:lang w:val="en-US" w:eastAsia="zh-CN"/>
        </w:rPr>
      </w:pPr>
    </w:p>
    <w:p>
      <w:pPr>
        <w:jc w:val="both"/>
        <w:rPr>
          <w:rFonts w:hint="eastAsia" w:ascii="仿宋_GB2312" w:eastAsia="仿宋_GB2312"/>
          <w:sz w:val="32"/>
          <w:szCs w:val="32"/>
          <w:lang w:eastAsia="zh-CN"/>
        </w:rPr>
      </w:pPr>
      <w:r>
        <w:rPr>
          <w:rFonts w:hint="eastAsia" w:ascii="仿宋_GB2312" w:eastAsia="仿宋_GB2312"/>
          <w:sz w:val="32"/>
          <w:szCs w:val="32"/>
          <w:lang w:val="en-US" w:eastAsia="zh-CN"/>
        </w:rPr>
        <w:t>附件1：《教学运行</w:t>
      </w:r>
      <w:r>
        <w:rPr>
          <w:rFonts w:hint="eastAsia" w:ascii="仿宋_GB2312" w:eastAsia="仿宋_GB2312"/>
          <w:sz w:val="32"/>
          <w:szCs w:val="32"/>
        </w:rPr>
        <w:t>流程图</w:t>
      </w:r>
      <w:r>
        <w:rPr>
          <w:rFonts w:hint="eastAsia" w:ascii="仿宋_GB2312" w:eastAsia="仿宋_GB2312"/>
          <w:sz w:val="32"/>
          <w:szCs w:val="32"/>
          <w:lang w:eastAsia="zh-CN"/>
        </w:rPr>
        <w:t>》</w:t>
      </w:r>
      <w:bookmarkStart w:id="0" w:name="_GoBack"/>
      <w:bookmarkEnd w:id="0"/>
    </w:p>
    <w:p>
      <w:pPr>
        <w:adjustRightInd w:val="0"/>
        <w:snapToGrid w:val="0"/>
        <w:spacing w:line="700" w:lineRule="exact"/>
        <w:rPr>
          <w:rFonts w:ascii="仿宋_GB2312" w:eastAsia="仿宋_GB2312"/>
          <w:sz w:val="32"/>
          <w:szCs w:val="32"/>
        </w:rPr>
      </w:pPr>
    </w:p>
    <w:p>
      <w:pPr>
        <w:adjustRightInd w:val="0"/>
        <w:snapToGrid w:val="0"/>
        <w:spacing w:line="700" w:lineRule="exact"/>
        <w:rPr>
          <w:rFonts w:ascii="仿宋_GB2312" w:eastAsia="仿宋_GB2312"/>
          <w:sz w:val="32"/>
          <w:szCs w:val="32"/>
        </w:rPr>
      </w:pPr>
    </w:p>
    <w:p>
      <w:pPr>
        <w:adjustRightInd w:val="0"/>
        <w:snapToGrid w:val="0"/>
        <w:spacing w:line="700" w:lineRule="exact"/>
        <w:rPr>
          <w:rFonts w:ascii="仿宋_GB2312" w:eastAsia="仿宋_GB2312"/>
          <w:sz w:val="32"/>
          <w:szCs w:val="32"/>
        </w:rPr>
      </w:pPr>
    </w:p>
    <w:p>
      <w:pPr>
        <w:adjustRightInd w:val="0"/>
        <w:snapToGrid w:val="0"/>
        <w:spacing w:line="700" w:lineRule="exact"/>
        <w:rPr>
          <w:rFonts w:ascii="仿宋_GB2312" w:eastAsia="仿宋_GB2312"/>
          <w:sz w:val="32"/>
          <w:szCs w:val="32"/>
        </w:rPr>
      </w:pPr>
    </w:p>
    <w:p>
      <w:pPr>
        <w:adjustRightInd w:val="0"/>
        <w:snapToGrid w:val="0"/>
        <w:spacing w:line="700" w:lineRule="exact"/>
        <w:rPr>
          <w:rFonts w:ascii="仿宋_GB2312" w:eastAsia="仿宋_GB2312"/>
          <w:sz w:val="32"/>
          <w:szCs w:val="32"/>
        </w:rPr>
      </w:pPr>
      <w:r>
        <w:rPr>
          <w:rFonts w:hint="eastAsia" w:ascii="仿宋_GB2312" w:eastAsia="仿宋_GB2312"/>
          <w:sz w:val="32"/>
          <w:szCs w:val="32"/>
        </w:rPr>
        <w:t xml:space="preserve">                                        教务处</w:t>
      </w:r>
    </w:p>
    <w:p>
      <w:pPr>
        <w:adjustRightInd w:val="0"/>
        <w:snapToGrid w:val="0"/>
        <w:spacing w:line="700" w:lineRule="exact"/>
        <w:rPr>
          <w:rFonts w:ascii="仿宋_GB2312" w:eastAsia="仿宋_GB2312"/>
          <w:sz w:val="32"/>
          <w:szCs w:val="32"/>
        </w:rPr>
      </w:pPr>
      <w:r>
        <w:rPr>
          <w:rFonts w:hint="eastAsia" w:ascii="仿宋_GB2312" w:eastAsia="仿宋_GB2312"/>
          <w:sz w:val="32"/>
          <w:szCs w:val="32"/>
        </w:rPr>
        <w:t xml:space="preserve">                                    2020年11月5日</w:t>
      </w:r>
    </w:p>
    <w:p>
      <w:pPr>
        <w:adjustRightInd w:val="0"/>
        <w:snapToGrid w:val="0"/>
        <w:spacing w:line="700" w:lineRule="exact"/>
        <w:rPr>
          <w:rFonts w:ascii="仿宋_GB2312" w:eastAsia="仿宋_GB2312"/>
          <w:sz w:val="32"/>
          <w:szCs w:val="32"/>
        </w:rPr>
      </w:pPr>
      <w:r>
        <w:rPr>
          <w:rFonts w:hint="eastAsia" w:ascii="仿宋_GB2312" w:eastAsia="仿宋_GB2312"/>
          <w:sz w:val="32"/>
          <w:szCs w:val="32"/>
        </w:rPr>
        <w:t xml:space="preserve">       </w:t>
      </w:r>
    </w:p>
    <w:p>
      <w:pPr>
        <w:rPr>
          <w:rFonts w:ascii="仿宋_GB2312" w:eastAsia="仿宋_GB2312"/>
          <w:sz w:val="32"/>
          <w:szCs w:val="32"/>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eastAsia="仿宋_GB2312"/>
          <w:sz w:val="32"/>
          <w:szCs w:val="32"/>
        </w:rPr>
        <w:br w:type="page"/>
      </w:r>
    </w:p>
    <w:p>
      <w:pPr>
        <w:rPr>
          <w:rFonts w:hint="default"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jc w:val="center"/>
        <w:rPr>
          <w:rFonts w:hint="eastAsia" w:ascii="仿宋_GB2312" w:eastAsia="仿宋_GB2312"/>
          <w:sz w:val="32"/>
          <w:szCs w:val="32"/>
        </w:rPr>
      </w:pPr>
      <w:r>
        <w:rPr>
          <w:rFonts w:hint="eastAsia" w:ascii="仿宋_GB2312" w:eastAsia="仿宋_GB2312"/>
          <w:sz w:val="32"/>
          <w:szCs w:val="32"/>
          <w:lang w:val="en-US" w:eastAsia="zh-CN"/>
        </w:rPr>
        <w:t>教学运行</w:t>
      </w:r>
      <w:r>
        <w:rPr>
          <w:rFonts w:hint="eastAsia" w:ascii="仿宋_GB2312" w:eastAsia="仿宋_GB2312"/>
          <w:sz w:val="32"/>
          <w:szCs w:val="32"/>
        </w:rPr>
        <w:t>流程图</w:t>
      </w:r>
    </w:p>
    <w:p>
      <w:pPr>
        <w:jc w:val="center"/>
        <w:rPr>
          <w:rFonts w:hint="default" w:ascii="仿宋" w:hAnsi="仿宋" w:eastAsia="仿宋" w:cs="仿宋"/>
          <w:sz w:val="32"/>
          <w:szCs w:val="32"/>
          <w:lang w:val="en-US" w:eastAsia="zh-CN"/>
        </w:rPr>
      </w:pPr>
      <w:r>
        <w:rPr>
          <w:rFonts w:ascii="仿宋" w:hAnsi="仿宋" w:eastAsia="仿宋" w:cs="仿宋"/>
          <w:sz w:val="32"/>
          <w:szCs w:val="32"/>
        </w:rPr>
        <w:drawing>
          <wp:inline distT="0" distB="0" distL="114300" distR="114300">
            <wp:extent cx="6496050" cy="4118610"/>
            <wp:effectExtent l="0" t="0" r="0" b="0"/>
            <wp:docPr id="2" name="图片 2" descr="教学运行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学运行流程图"/>
                    <pic:cNvPicPr>
                      <a:picLocks noChangeAspect="1"/>
                    </pic:cNvPicPr>
                  </pic:nvPicPr>
                  <pic:blipFill>
                    <a:blip r:embed="rId6"/>
                    <a:stretch>
                      <a:fillRect/>
                    </a:stretch>
                  </pic:blipFill>
                  <pic:spPr>
                    <a:xfrm>
                      <a:off x="0" y="0"/>
                      <a:ext cx="6515313" cy="4131228"/>
                    </a:xfrm>
                    <a:prstGeom prst="rect">
                      <a:avLst/>
                    </a:prstGeom>
                  </pic:spPr>
                </pic:pic>
              </a:graphicData>
            </a:graphic>
          </wp:inline>
        </w:drawing>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D8"/>
    <w:rsid w:val="00035C97"/>
    <w:rsid w:val="0005247B"/>
    <w:rsid w:val="00057301"/>
    <w:rsid w:val="000742A9"/>
    <w:rsid w:val="00092DC2"/>
    <w:rsid w:val="000B4556"/>
    <w:rsid w:val="000B7E4C"/>
    <w:rsid w:val="000D09F5"/>
    <w:rsid w:val="00102876"/>
    <w:rsid w:val="001174E6"/>
    <w:rsid w:val="001646B3"/>
    <w:rsid w:val="001D079C"/>
    <w:rsid w:val="00263632"/>
    <w:rsid w:val="00276B1E"/>
    <w:rsid w:val="002909D9"/>
    <w:rsid w:val="002D2DB1"/>
    <w:rsid w:val="002F0023"/>
    <w:rsid w:val="00303507"/>
    <w:rsid w:val="00366E23"/>
    <w:rsid w:val="00367026"/>
    <w:rsid w:val="0037176A"/>
    <w:rsid w:val="00385224"/>
    <w:rsid w:val="00387EE6"/>
    <w:rsid w:val="003A283D"/>
    <w:rsid w:val="003B1DE5"/>
    <w:rsid w:val="003D323D"/>
    <w:rsid w:val="003F01C9"/>
    <w:rsid w:val="003F0943"/>
    <w:rsid w:val="00430076"/>
    <w:rsid w:val="00430863"/>
    <w:rsid w:val="00447FE1"/>
    <w:rsid w:val="004B511F"/>
    <w:rsid w:val="00510C52"/>
    <w:rsid w:val="0055754D"/>
    <w:rsid w:val="00565236"/>
    <w:rsid w:val="005B1698"/>
    <w:rsid w:val="005C3BBE"/>
    <w:rsid w:val="005C7DD4"/>
    <w:rsid w:val="006107E1"/>
    <w:rsid w:val="00613597"/>
    <w:rsid w:val="00627B97"/>
    <w:rsid w:val="00681F6B"/>
    <w:rsid w:val="006A1F8A"/>
    <w:rsid w:val="006A53B0"/>
    <w:rsid w:val="006F715C"/>
    <w:rsid w:val="007105BC"/>
    <w:rsid w:val="0075434B"/>
    <w:rsid w:val="00761C57"/>
    <w:rsid w:val="00812F8B"/>
    <w:rsid w:val="0084288B"/>
    <w:rsid w:val="008541B0"/>
    <w:rsid w:val="0086529D"/>
    <w:rsid w:val="008A6280"/>
    <w:rsid w:val="009141B3"/>
    <w:rsid w:val="00952C79"/>
    <w:rsid w:val="009E7089"/>
    <w:rsid w:val="00A1649C"/>
    <w:rsid w:val="00A332BB"/>
    <w:rsid w:val="00A40F1E"/>
    <w:rsid w:val="00A5139B"/>
    <w:rsid w:val="00A72F98"/>
    <w:rsid w:val="00AB520B"/>
    <w:rsid w:val="00AB7798"/>
    <w:rsid w:val="00AD1012"/>
    <w:rsid w:val="00AD2326"/>
    <w:rsid w:val="00AD4410"/>
    <w:rsid w:val="00AD542F"/>
    <w:rsid w:val="00AF764A"/>
    <w:rsid w:val="00B1266B"/>
    <w:rsid w:val="00B132DE"/>
    <w:rsid w:val="00B455D0"/>
    <w:rsid w:val="00B53994"/>
    <w:rsid w:val="00B8191A"/>
    <w:rsid w:val="00BB3F2C"/>
    <w:rsid w:val="00BB4B2A"/>
    <w:rsid w:val="00BC49AF"/>
    <w:rsid w:val="00BD05FB"/>
    <w:rsid w:val="00BD2837"/>
    <w:rsid w:val="00BE45A2"/>
    <w:rsid w:val="00BF43E2"/>
    <w:rsid w:val="00C625AE"/>
    <w:rsid w:val="00C65BD8"/>
    <w:rsid w:val="00C71A6C"/>
    <w:rsid w:val="00CE5BCD"/>
    <w:rsid w:val="00CF1FCB"/>
    <w:rsid w:val="00D2090C"/>
    <w:rsid w:val="00D369F4"/>
    <w:rsid w:val="00D5174A"/>
    <w:rsid w:val="00D67132"/>
    <w:rsid w:val="00D93BB9"/>
    <w:rsid w:val="00DA2C4C"/>
    <w:rsid w:val="00DF610A"/>
    <w:rsid w:val="00E17B24"/>
    <w:rsid w:val="00E240C0"/>
    <w:rsid w:val="00E55412"/>
    <w:rsid w:val="00E61285"/>
    <w:rsid w:val="00E74F83"/>
    <w:rsid w:val="00E85262"/>
    <w:rsid w:val="00E96F02"/>
    <w:rsid w:val="00EE1431"/>
    <w:rsid w:val="00F163BA"/>
    <w:rsid w:val="00F2540A"/>
    <w:rsid w:val="00F45985"/>
    <w:rsid w:val="00F74D2A"/>
    <w:rsid w:val="00F940DF"/>
    <w:rsid w:val="00F97EFB"/>
    <w:rsid w:val="00FA3FF7"/>
    <w:rsid w:val="0459531D"/>
    <w:rsid w:val="1366770B"/>
    <w:rsid w:val="13B570DD"/>
    <w:rsid w:val="19BD6BA5"/>
    <w:rsid w:val="1F857FBB"/>
    <w:rsid w:val="24BF6FF7"/>
    <w:rsid w:val="262F2733"/>
    <w:rsid w:val="268C6028"/>
    <w:rsid w:val="285819D5"/>
    <w:rsid w:val="287A3B44"/>
    <w:rsid w:val="2A586A32"/>
    <w:rsid w:val="43A00476"/>
    <w:rsid w:val="4875379B"/>
    <w:rsid w:val="4DE1781D"/>
    <w:rsid w:val="61127D3F"/>
    <w:rsid w:val="63594141"/>
    <w:rsid w:val="69EC7C70"/>
    <w:rsid w:val="77690070"/>
    <w:rsid w:val="785F58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kern w:val="0"/>
      <w:sz w:val="18"/>
      <w:szCs w:val="20"/>
    </w:rPr>
  </w:style>
  <w:style w:type="paragraph" w:styleId="5">
    <w:name w:val="header"/>
    <w:basedOn w:val="1"/>
    <w:link w:val="10"/>
    <w:semiHidden/>
    <w:qFormat/>
    <w:uiPriority w:val="99"/>
    <w:pPr>
      <w:pBdr>
        <w:bottom w:val="single" w:color="auto" w:sz="6" w:space="1"/>
      </w:pBdr>
      <w:tabs>
        <w:tab w:val="center" w:pos="4153"/>
        <w:tab w:val="right" w:pos="8306"/>
      </w:tabs>
      <w:snapToGrid w:val="0"/>
      <w:jc w:val="center"/>
    </w:pPr>
    <w:rPr>
      <w:kern w:val="0"/>
      <w:sz w:val="18"/>
      <w:szCs w:val="20"/>
    </w:rPr>
  </w:style>
  <w:style w:type="paragraph" w:styleId="6">
    <w:name w:val="annotation subject"/>
    <w:basedOn w:val="2"/>
    <w:next w:val="2"/>
    <w:link w:val="14"/>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semiHidden/>
    <w:qFormat/>
    <w:locked/>
    <w:uiPriority w:val="99"/>
    <w:rPr>
      <w:sz w:val="18"/>
    </w:rPr>
  </w:style>
  <w:style w:type="character" w:customStyle="1" w:styleId="11">
    <w:name w:val="页脚 字符"/>
    <w:basedOn w:val="8"/>
    <w:link w:val="4"/>
    <w:semiHidden/>
    <w:qFormat/>
    <w:locked/>
    <w:uiPriority w:val="99"/>
    <w:rPr>
      <w:sz w:val="18"/>
    </w:rPr>
  </w:style>
  <w:style w:type="paragraph" w:styleId="12">
    <w:name w:val="List Paragraph"/>
    <w:basedOn w:val="1"/>
    <w:qFormat/>
    <w:uiPriority w:val="99"/>
    <w:pPr>
      <w:ind w:firstLine="420" w:firstLineChars="200"/>
    </w:pPr>
  </w:style>
  <w:style w:type="character" w:customStyle="1" w:styleId="13">
    <w:name w:val="批注文字 字符"/>
    <w:basedOn w:val="8"/>
    <w:link w:val="2"/>
    <w:semiHidden/>
    <w:qFormat/>
    <w:uiPriority w:val="99"/>
    <w:rPr>
      <w:rFonts w:ascii="Calibri" w:hAnsi="Calibri"/>
      <w:kern w:val="2"/>
      <w:sz w:val="21"/>
      <w:szCs w:val="22"/>
    </w:rPr>
  </w:style>
  <w:style w:type="character" w:customStyle="1" w:styleId="14">
    <w:name w:val="批注主题 字符"/>
    <w:basedOn w:val="13"/>
    <w:link w:val="6"/>
    <w:semiHidden/>
    <w:qFormat/>
    <w:uiPriority w:val="99"/>
    <w:rPr>
      <w:rFonts w:ascii="Calibri" w:hAnsi="Calibri"/>
      <w:b/>
      <w:bCs/>
      <w:kern w:val="2"/>
      <w:sz w:val="21"/>
      <w:szCs w:val="22"/>
    </w:rPr>
  </w:style>
  <w:style w:type="character" w:customStyle="1" w:styleId="15">
    <w:name w:val="批注框文本 字符"/>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332</Words>
  <Characters>1893</Characters>
  <Lines>15</Lines>
  <Paragraphs>4</Paragraphs>
  <TotalTime>1</TotalTime>
  <ScaleCrop>false</ScaleCrop>
  <LinksUpToDate>false</LinksUpToDate>
  <CharactersWithSpaces>2221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2016-12-21T07:20:00Z</dcterms:created>
  <dc:creator>User</dc:creator>
  <cp:lastModifiedBy>C..</cp:lastModifiedBy>
  <dcterms:modified xsi:type="dcterms:W3CDTF">2020-12-07T04:21:14Z</dcterms:modified>
  <dc:title>排课规范要求</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