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30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921"/>
        <w:gridCol w:w="1904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10月30日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10月31日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主题教育调研——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以主题教育为契机，推进“四力提升”党建领航行动计划，实现学校党建工作新跃升 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艺术学院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党团活动室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党委组织部、党委宣传部负责人，各党总支、直属党支部书记、组织员及工作人员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教学观摩活动——公共基础课程组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教师教学发展中心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教学楼253教室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马克思主义学院院长，基础部、体育教研部教学副院长，观摩课任课教师及观摩人员，教学督导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075D19DC"/>
    <w:rsid w:val="3B023DAC"/>
    <w:rsid w:val="4B9673AD"/>
    <w:rsid w:val="4C7B30C8"/>
    <w:rsid w:val="5A6373BA"/>
    <w:rsid w:val="5BAE37F2"/>
    <w:rsid w:val="602E6DCC"/>
    <w:rsid w:val="6FC92F16"/>
    <w:rsid w:val="7F911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4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2023-05-31T00:12:00Z</dcterms:created>
  <dc:creator>微软用户</dc:creator>
  <cp:lastModifiedBy>姚迪</cp:lastModifiedBy>
  <cp:lastPrinted>2023-10-30T00:37:05Z</cp:lastPrinted>
  <dcterms:modified xsi:type="dcterms:W3CDTF">2023-10-30T00:50:52Z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42E067DFA1704EC484016E6AA4EDDD08_13</vt:lpwstr>
  </property>
</Properties>
</file>