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after="156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长春大学旅游学院</w:t>
      </w:r>
    </w:p>
    <w:p>
      <w:pPr>
        <w:pStyle w:val="7"/>
        <w:spacing w:before="156" w:after="156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Toc522625641"/>
      <w:bookmarkStart w:id="1" w:name="_Toc9231235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学生考试违纪行为认定及处理办法</w:t>
      </w:r>
      <w:bookmarkEnd w:id="0"/>
      <w:bookmarkEnd w:id="1"/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为了严肃考试纪律，严格考试管理，端正考风，促进学风和校风建设，根据教育部第41号令文件精神，特制定我校学生考试违纪行为认定及处理办法如下：</w:t>
      </w:r>
    </w:p>
    <w:p>
      <w:pPr>
        <w:pStyle w:val="9"/>
        <w:framePr w:wrap="auto" w:vAnchor="margin" w:hAnchor="text" w:yAlign="inline"/>
        <w:adjustRightInd w:val="0"/>
        <w:snapToGrid w:val="0"/>
        <w:spacing w:before="120" w:after="120" w:line="7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一、考试违纪分类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学生考试违纪行为分为一般违纪、严重违纪、考试作弊和考试严重作弊四类。</w:t>
      </w:r>
    </w:p>
    <w:p>
      <w:pPr>
        <w:pStyle w:val="9"/>
        <w:framePr w:wrap="auto" w:vAnchor="margin" w:hAnchor="text" w:yAlign="inline"/>
        <w:adjustRightInd w:val="0"/>
        <w:snapToGrid w:val="0"/>
        <w:spacing w:before="120" w:after="120" w:line="7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二、考试违纪认定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监考人员在发卷前要按单桌单列随机安排好考生座位，宣布考场纪律，处理好学生携带物品，在考生考试过程中要认真履行监考职责。在教育和防止学生考试违纪和作弊行为发生的同时，对个别违反考试纪律的学生，应据其违纪行为和情节轻重，按一般违纪、严重违纪、考试作弊和考试严重作弊的具体规定当场准确予以认定。 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（一）考试一般违纪的认定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学生考试时，有下列情况之一者，按一般违纪认定：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1.未按指定座位入座；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2.未经监考人员允许借用他人计算器等文具；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3.左顾右盼，企图窥视他人试卷；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4.未经监考人员同意，中途擅自离开考场；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5.考试结束时间已到，仍不交卷；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6.交卷后仍在考场中逗留；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7.考试结束前在考场附近高声喧哗。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（二）考试严重违纪的认定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学生在考场中，凡有下列情况之一，又不听从监考人员劝告而立即改正者，按严重违纪认定：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1.闭卷考试至发卷时，仍将书包、书籍、复习资料、自备草纸、未关闭手机及其他通讯工具、电子记事本等带入座位；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2.在试卷上标注记号或将姓名、学号写在试卷装订线以外部分；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3.开卷考试中借用他人书籍、笔记、资料等；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4.交头接耳、互打手势暗号或自念答案；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5.举起试卷检查，为他人窥视提供方便；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6.将已写有答案的试卷正面朝上，在桌面左上角或右上角摆放；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7.窥视他人试卷；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8.将试题、试卷、考试用纸带出考场。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（三）考试作弊的认定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学生在考场中，凡有下列情况之一者，按考试作弊认定：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1.所坐位置出现下列与考试内容相关的文字材料：如教科书、笔记本、小抄件、有文字材料的纸张（统一发的草稿纸除外）及桌面上写有与考试内容相关的文字（答卷前未向监考教师报告）等；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2.随身携带内有与考试内容相关资料的电子储存设备：如手机、手表等；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3.抄袭或协助他人抄袭试题答案及与考试内容相关的资料；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4.身体裸露部位写有与考试内容相关的文字信息；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5.传递记有试卷内容信息的纸条、草稿纸、小抄件、文化用品等行为；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6.利用上厕所机会在考场外偷看与考试内容有关的资料、或与他人交谈、传递有关考试内容。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（四）考试严重作弊的认定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学生在考场中，凡有下列情况之一者，按考试严重作弊认定：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1.替考；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2.在试卷装订线以里填写他人姓名、考号等；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3.互相串换试卷；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4.考前窃取试题；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5.使用手机等通讯工具传递考试答案；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6.在考场墙面书写与考试科目内容相关的文字信息。</w:t>
      </w:r>
    </w:p>
    <w:p>
      <w:pPr>
        <w:pStyle w:val="9"/>
        <w:framePr w:wrap="auto" w:vAnchor="margin" w:hAnchor="text" w:yAlign="inline"/>
        <w:adjustRightInd w:val="0"/>
        <w:snapToGrid w:val="0"/>
        <w:spacing w:before="120" w:after="120" w:line="7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三、考试违纪处理办法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1.一般违纪：由监考人员及时制止其违纪行为。凡能服从监考人员管理，及时改正者，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给予警告后，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允许其继续进行考试；凡不听劝止或拒不服从者，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按考试一般违纪行为处理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2.考试严重违纪：违纪课程考试成绩以零分记，对严重违纪行为有深刻认识并有悔改表现者，允许参加课程正常补考，并按学校有关规定给予纪律处分。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3.考试作弊和严重作弊：作弊课程考试成绩以零分记，并加注“作弊”字样，不准参加学期补考，允许参加该课程重修，并按学校有关规定给予纪律处分。</w:t>
      </w:r>
    </w:p>
    <w:p>
      <w:pPr>
        <w:pStyle w:val="9"/>
        <w:framePr w:wrap="auto" w:vAnchor="margin" w:hAnchor="text" w:yAlign="inline"/>
        <w:adjustRightInd w:val="0"/>
        <w:snapToGrid w:val="0"/>
        <w:spacing w:before="120" w:after="120" w:line="7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四、考试违纪处理程序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监考人员对考场中学生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考试一般违纪、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考试严重违纪、考试作弊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和考试严重作弊行为，一经发现且被确认，应在其试卷上注明“违纪”或“作弊”字样，在试卷封皮上填写相关内容，并在考试结束后立即将填写的《长春大学旅游学院学生考试违纪记录表》报教务处，教务处核实签署意见后，于当日送达学生工作处，按学校有关规定进行纪律处分。</w:t>
      </w:r>
    </w:p>
    <w:p>
      <w:pPr>
        <w:pStyle w:val="9"/>
        <w:framePr w:wrap="auto" w:vAnchor="margin" w:hAnchor="text" w:yAlign="inline"/>
        <w:adjustRightInd w:val="0"/>
        <w:snapToGrid w:val="0"/>
        <w:spacing w:before="120" w:after="120" w:line="7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五、本办法适用范围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本办法适用于学校组织的各级各类考试。</w:t>
      </w:r>
    </w:p>
    <w:p>
      <w:pPr>
        <w:pStyle w:val="9"/>
        <w:framePr w:wrap="auto" w:vAnchor="margin" w:hAnchor="text" w:yAlign="inline"/>
        <w:adjustRightInd w:val="0"/>
        <w:snapToGrid w:val="0"/>
        <w:spacing w:before="120" w:after="120" w:line="7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六、本办法解释权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1.本办法由教务处负责解释。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2.本办法自公布之日起开始执行，学校以往下发的相关规定自行废止。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42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4E3"/>
    <w:rsid w:val="00243467"/>
    <w:rsid w:val="004F6013"/>
    <w:rsid w:val="008074E3"/>
    <w:rsid w:val="00C37B0D"/>
    <w:rsid w:val="021515F6"/>
    <w:rsid w:val="39DC3A1C"/>
    <w:rsid w:val="3CD66EC1"/>
    <w:rsid w:val="5EF55293"/>
    <w:rsid w:val="669213E9"/>
    <w:rsid w:val="6A4E7D48"/>
    <w:rsid w:val="733D70C8"/>
    <w:rsid w:val="7AE76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0一级标题"/>
    <w:basedOn w:val="1"/>
    <w:qFormat/>
    <w:uiPriority w:val="99"/>
    <w:pPr>
      <w:adjustRightInd w:val="0"/>
      <w:snapToGrid w:val="0"/>
      <w:spacing w:beforeLines="50" w:afterLines="50"/>
      <w:jc w:val="center"/>
      <w:outlineLvl w:val="0"/>
    </w:pPr>
    <w:rPr>
      <w:rFonts w:ascii="黑体" w:hAnsi="黑体" w:eastAsia="黑体"/>
      <w:sz w:val="36"/>
      <w:szCs w:val="44"/>
    </w:rPr>
  </w:style>
  <w:style w:type="paragraph" w:customStyle="1" w:styleId="8">
    <w:name w:val="空行"/>
    <w:basedOn w:val="1"/>
    <w:qFormat/>
    <w:uiPriority w:val="99"/>
    <w:pPr>
      <w:adjustRightInd w:val="0"/>
      <w:snapToGrid w:val="0"/>
      <w:jc w:val="center"/>
      <w:outlineLvl w:val="0"/>
    </w:pPr>
    <w:rPr>
      <w:rFonts w:ascii="黑体" w:hAnsi="黑体" w:eastAsia="黑体"/>
      <w:sz w:val="36"/>
      <w:szCs w:val="44"/>
    </w:rPr>
  </w:style>
  <w:style w:type="paragraph" w:customStyle="1" w:styleId="9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等线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238</Words>
  <Characters>1361</Characters>
  <Lines>11</Lines>
  <Paragraphs>3</Paragraphs>
  <TotalTime>116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2020-03-18T01:46:03Z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