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150" w:type="dxa"/>
        <w:tblCellSpacing w:w="0" w:type="dxa"/>
        <w:tblInd w:w="0" w:type="dxa"/>
        <w:tblLayout w:type="autofit"/>
        <w:tblCellMar>
          <w:top w:w="0" w:type="dxa"/>
          <w:left w:w="0" w:type="dxa"/>
          <w:bottom w:w="0" w:type="dxa"/>
          <w:right w:w="0" w:type="dxa"/>
        </w:tblCellMar>
      </w:tblPr>
      <w:tblGrid>
        <w:gridCol w:w="1214"/>
        <w:gridCol w:w="2430"/>
        <w:gridCol w:w="1215"/>
        <w:gridCol w:w="2552"/>
        <w:gridCol w:w="1215"/>
        <w:gridCol w:w="3524"/>
      </w:tblGrid>
      <w:tr>
        <w:tblPrEx>
          <w:tblCellMar>
            <w:top w:w="0" w:type="dxa"/>
            <w:left w:w="0" w:type="dxa"/>
            <w:bottom w:w="0" w:type="dxa"/>
            <w:right w:w="0" w:type="dxa"/>
          </w:tblCellMar>
        </w:tblPrEx>
        <w:trPr>
          <w:tblCellSpacing w:w="0" w:type="dxa"/>
        </w:trPr>
        <w:tc>
          <w:tcPr>
            <w:tcW w:w="500" w:type="pct"/>
          </w:tcPr>
          <w:p>
            <w:pPr>
              <w:widowControl/>
              <w:spacing w:line="375" w:lineRule="atLeast"/>
              <w:jc w:val="left"/>
              <w:rPr>
                <w:rFonts w:ascii="宋体" w:hAnsi="宋体" w:eastAsia="宋体" w:cs="宋体"/>
                <w:b/>
                <w:bCs/>
                <w:color w:val="4B4B4B"/>
                <w:kern w:val="0"/>
                <w:sz w:val="21"/>
                <w:szCs w:val="21"/>
              </w:rPr>
            </w:pPr>
            <w:r>
              <w:rPr>
                <w:rFonts w:hint="eastAsia" w:ascii="宋体" w:hAnsi="宋体" w:eastAsia="宋体" w:cs="宋体"/>
                <w:b/>
                <w:bCs/>
                <w:color w:val="4B4B4B"/>
                <w:kern w:val="0"/>
                <w:sz w:val="21"/>
                <w:szCs w:val="21"/>
              </w:rPr>
              <w:t>信息名称：</w:t>
            </w:r>
          </w:p>
        </w:tc>
        <w:tc>
          <w:tcPr>
            <w:tcW w:w="0" w:type="auto"/>
            <w:gridSpan w:val="5"/>
          </w:tcPr>
          <w:p>
            <w:pPr>
              <w:widowControl/>
              <w:spacing w:line="375" w:lineRule="atLeast"/>
              <w:jc w:val="left"/>
              <w:rPr>
                <w:rFonts w:hint="eastAsia" w:ascii="宋体" w:hAnsi="宋体" w:eastAsia="宋体" w:cs="宋体"/>
                <w:color w:val="4B4B4B"/>
                <w:kern w:val="0"/>
                <w:sz w:val="21"/>
                <w:szCs w:val="21"/>
              </w:rPr>
            </w:pPr>
            <w:r>
              <w:rPr>
                <w:rFonts w:hint="eastAsia" w:ascii="宋体" w:hAnsi="宋体" w:eastAsia="宋体" w:cs="宋体"/>
                <w:color w:val="4B4B4B"/>
                <w:kern w:val="0"/>
                <w:sz w:val="21"/>
                <w:szCs w:val="21"/>
              </w:rPr>
              <w:t>教育部关于印发《普通高等学校思想政治理论课教师队伍培养规划（2019—2023年）》的通知</w:t>
            </w:r>
          </w:p>
        </w:tc>
      </w:tr>
      <w:tr>
        <w:tblPrEx>
          <w:tblCellMar>
            <w:top w:w="0" w:type="dxa"/>
            <w:left w:w="0" w:type="dxa"/>
            <w:bottom w:w="0" w:type="dxa"/>
            <w:right w:w="0" w:type="dxa"/>
          </w:tblCellMar>
        </w:tblPrEx>
        <w:trPr>
          <w:tblCellSpacing w:w="0" w:type="dxa"/>
        </w:trPr>
        <w:tc>
          <w:tcPr>
            <w:tcW w:w="500" w:type="pct"/>
          </w:tcPr>
          <w:p>
            <w:pPr>
              <w:widowControl/>
              <w:spacing w:line="375" w:lineRule="atLeast"/>
              <w:jc w:val="left"/>
              <w:rPr>
                <w:rFonts w:hint="eastAsia" w:ascii="宋体" w:hAnsi="宋体" w:eastAsia="宋体" w:cs="宋体"/>
                <w:b/>
                <w:bCs/>
                <w:color w:val="4B4B4B"/>
                <w:kern w:val="0"/>
                <w:sz w:val="21"/>
                <w:szCs w:val="21"/>
              </w:rPr>
            </w:pPr>
            <w:r>
              <w:rPr>
                <w:rFonts w:hint="eastAsia" w:ascii="宋体" w:hAnsi="宋体" w:eastAsia="宋体" w:cs="宋体"/>
                <w:b/>
                <w:bCs/>
                <w:color w:val="4B4B4B"/>
                <w:kern w:val="0"/>
                <w:sz w:val="21"/>
                <w:szCs w:val="21"/>
              </w:rPr>
              <w:t>信息索引：</w:t>
            </w:r>
          </w:p>
        </w:tc>
        <w:tc>
          <w:tcPr>
            <w:tcW w:w="1000" w:type="pct"/>
          </w:tcPr>
          <w:p>
            <w:pPr>
              <w:widowControl/>
              <w:spacing w:line="375" w:lineRule="atLeast"/>
              <w:jc w:val="left"/>
              <w:rPr>
                <w:rFonts w:hint="eastAsia" w:ascii="宋体" w:hAnsi="宋体" w:eastAsia="宋体" w:cs="宋体"/>
                <w:color w:val="4B4B4B"/>
                <w:kern w:val="0"/>
                <w:sz w:val="21"/>
                <w:szCs w:val="21"/>
              </w:rPr>
            </w:pPr>
            <w:r>
              <w:rPr>
                <w:rFonts w:hint="eastAsia" w:ascii="宋体" w:hAnsi="宋体" w:eastAsia="宋体" w:cs="宋体"/>
                <w:color w:val="4B4B4B"/>
                <w:kern w:val="0"/>
                <w:sz w:val="21"/>
                <w:szCs w:val="21"/>
              </w:rPr>
              <w:t>360A13-07-2019-0011-1</w:t>
            </w:r>
          </w:p>
        </w:tc>
        <w:tc>
          <w:tcPr>
            <w:tcW w:w="500" w:type="pct"/>
          </w:tcPr>
          <w:p>
            <w:pPr>
              <w:widowControl/>
              <w:spacing w:line="375" w:lineRule="atLeast"/>
              <w:jc w:val="left"/>
              <w:rPr>
                <w:rFonts w:hint="eastAsia" w:ascii="宋体" w:hAnsi="宋体" w:eastAsia="宋体" w:cs="宋体"/>
                <w:b/>
                <w:bCs/>
                <w:color w:val="4B4B4B"/>
                <w:kern w:val="0"/>
                <w:sz w:val="21"/>
                <w:szCs w:val="21"/>
              </w:rPr>
            </w:pPr>
            <w:r>
              <w:rPr>
                <w:rFonts w:hint="eastAsia" w:ascii="宋体" w:hAnsi="宋体" w:eastAsia="宋体" w:cs="宋体"/>
                <w:b/>
                <w:bCs/>
                <w:color w:val="4B4B4B"/>
                <w:kern w:val="0"/>
                <w:sz w:val="21"/>
                <w:szCs w:val="21"/>
              </w:rPr>
              <w:t>生成日期：</w:t>
            </w:r>
          </w:p>
        </w:tc>
        <w:tc>
          <w:tcPr>
            <w:tcW w:w="1050" w:type="pct"/>
          </w:tcPr>
          <w:p>
            <w:pPr>
              <w:widowControl/>
              <w:spacing w:line="375" w:lineRule="atLeast"/>
              <w:jc w:val="left"/>
              <w:rPr>
                <w:rFonts w:hint="eastAsia" w:ascii="宋体" w:hAnsi="宋体" w:eastAsia="宋体" w:cs="宋体"/>
                <w:color w:val="4B4B4B"/>
                <w:kern w:val="0"/>
                <w:sz w:val="21"/>
                <w:szCs w:val="21"/>
              </w:rPr>
            </w:pPr>
            <w:r>
              <w:rPr>
                <w:rFonts w:hint="eastAsia" w:ascii="宋体" w:hAnsi="宋体" w:eastAsia="宋体" w:cs="宋体"/>
                <w:color w:val="4B4B4B"/>
                <w:kern w:val="0"/>
                <w:sz w:val="21"/>
                <w:szCs w:val="21"/>
              </w:rPr>
              <w:t>2019-04-18</w:t>
            </w:r>
          </w:p>
        </w:tc>
        <w:tc>
          <w:tcPr>
            <w:tcW w:w="500" w:type="pct"/>
          </w:tcPr>
          <w:p>
            <w:pPr>
              <w:widowControl/>
              <w:spacing w:line="375" w:lineRule="atLeast"/>
              <w:jc w:val="left"/>
              <w:rPr>
                <w:rFonts w:hint="eastAsia" w:ascii="宋体" w:hAnsi="宋体" w:eastAsia="宋体" w:cs="宋体"/>
                <w:b/>
                <w:bCs/>
                <w:color w:val="4B4B4B"/>
                <w:kern w:val="0"/>
                <w:sz w:val="21"/>
                <w:szCs w:val="21"/>
              </w:rPr>
            </w:pPr>
            <w:r>
              <w:rPr>
                <w:rFonts w:hint="eastAsia" w:ascii="宋体" w:hAnsi="宋体" w:eastAsia="宋体" w:cs="宋体"/>
                <w:b/>
                <w:bCs/>
                <w:color w:val="4B4B4B"/>
                <w:kern w:val="0"/>
                <w:sz w:val="21"/>
                <w:szCs w:val="21"/>
              </w:rPr>
              <w:t>发文机构：</w:t>
            </w:r>
          </w:p>
        </w:tc>
        <w:tc>
          <w:tcPr>
            <w:tcW w:w="1700" w:type="pct"/>
          </w:tcPr>
          <w:p>
            <w:pPr>
              <w:widowControl/>
              <w:spacing w:line="375" w:lineRule="atLeast"/>
              <w:jc w:val="left"/>
              <w:rPr>
                <w:rFonts w:hint="eastAsia" w:ascii="宋体" w:hAnsi="宋体" w:eastAsia="宋体" w:cs="宋体"/>
                <w:color w:val="4B4B4B"/>
                <w:kern w:val="0"/>
                <w:sz w:val="21"/>
                <w:szCs w:val="21"/>
              </w:rPr>
            </w:pPr>
            <w:r>
              <w:rPr>
                <w:rFonts w:hint="eastAsia" w:ascii="宋体" w:hAnsi="宋体" w:eastAsia="宋体" w:cs="宋体"/>
                <w:color w:val="4B4B4B"/>
                <w:kern w:val="0"/>
                <w:sz w:val="21"/>
                <w:szCs w:val="21"/>
              </w:rPr>
              <w:t>中华人民共和国教育部</w:t>
            </w:r>
          </w:p>
        </w:tc>
      </w:tr>
      <w:tr>
        <w:tblPrEx>
          <w:tblCellMar>
            <w:top w:w="0" w:type="dxa"/>
            <w:left w:w="0" w:type="dxa"/>
            <w:bottom w:w="0" w:type="dxa"/>
            <w:right w:w="0" w:type="dxa"/>
          </w:tblCellMar>
        </w:tblPrEx>
        <w:trPr>
          <w:tblCellSpacing w:w="0" w:type="dxa"/>
        </w:trPr>
        <w:tc>
          <w:tcPr>
            <w:tcW w:w="500" w:type="pct"/>
          </w:tcPr>
          <w:p>
            <w:pPr>
              <w:widowControl/>
              <w:spacing w:line="375" w:lineRule="atLeast"/>
              <w:jc w:val="left"/>
              <w:rPr>
                <w:rFonts w:hint="eastAsia" w:ascii="宋体" w:hAnsi="宋体" w:eastAsia="宋体" w:cs="宋体"/>
                <w:b/>
                <w:bCs/>
                <w:color w:val="4B4B4B"/>
                <w:kern w:val="0"/>
                <w:sz w:val="21"/>
                <w:szCs w:val="21"/>
              </w:rPr>
            </w:pPr>
            <w:r>
              <w:rPr>
                <w:rFonts w:hint="eastAsia" w:ascii="宋体" w:hAnsi="宋体" w:eastAsia="宋体" w:cs="宋体"/>
                <w:b/>
                <w:bCs/>
                <w:color w:val="4B4B4B"/>
                <w:kern w:val="0"/>
                <w:sz w:val="21"/>
                <w:szCs w:val="21"/>
              </w:rPr>
              <w:t>发文字号：</w:t>
            </w:r>
          </w:p>
        </w:tc>
        <w:tc>
          <w:tcPr>
            <w:tcW w:w="0" w:type="auto"/>
          </w:tcPr>
          <w:p>
            <w:pPr>
              <w:widowControl/>
              <w:spacing w:line="375" w:lineRule="atLeast"/>
              <w:jc w:val="left"/>
              <w:rPr>
                <w:rFonts w:hint="eastAsia" w:ascii="宋体" w:hAnsi="宋体" w:eastAsia="宋体" w:cs="宋体"/>
                <w:color w:val="4B4B4B"/>
                <w:kern w:val="0"/>
                <w:sz w:val="21"/>
                <w:szCs w:val="21"/>
              </w:rPr>
            </w:pPr>
            <w:r>
              <w:rPr>
                <w:rFonts w:hint="eastAsia" w:ascii="宋体" w:hAnsi="宋体" w:eastAsia="宋体" w:cs="宋体"/>
                <w:color w:val="4B4B4B"/>
                <w:kern w:val="0"/>
                <w:sz w:val="21"/>
                <w:szCs w:val="21"/>
              </w:rPr>
              <w:t>教社科函〔2019〕10号</w:t>
            </w:r>
          </w:p>
        </w:tc>
        <w:tc>
          <w:tcPr>
            <w:tcW w:w="500" w:type="pct"/>
          </w:tcPr>
          <w:p>
            <w:pPr>
              <w:widowControl/>
              <w:spacing w:line="375" w:lineRule="atLeast"/>
              <w:jc w:val="left"/>
              <w:rPr>
                <w:rFonts w:hint="eastAsia" w:ascii="宋体" w:hAnsi="宋体" w:eastAsia="宋体" w:cs="宋体"/>
                <w:b/>
                <w:bCs/>
                <w:color w:val="4B4B4B"/>
                <w:kern w:val="0"/>
                <w:sz w:val="21"/>
                <w:szCs w:val="21"/>
              </w:rPr>
            </w:pPr>
            <w:r>
              <w:rPr>
                <w:rFonts w:hint="eastAsia" w:ascii="宋体" w:hAnsi="宋体" w:eastAsia="宋体" w:cs="宋体"/>
                <w:b/>
                <w:bCs/>
                <w:color w:val="4B4B4B"/>
                <w:kern w:val="0"/>
                <w:sz w:val="21"/>
                <w:szCs w:val="21"/>
              </w:rPr>
              <w:t>信息类别：</w:t>
            </w:r>
          </w:p>
        </w:tc>
        <w:tc>
          <w:tcPr>
            <w:tcW w:w="0" w:type="auto"/>
            <w:gridSpan w:val="3"/>
          </w:tcPr>
          <w:p>
            <w:pPr>
              <w:widowControl/>
              <w:spacing w:line="375" w:lineRule="atLeast"/>
              <w:jc w:val="left"/>
              <w:rPr>
                <w:rFonts w:hint="eastAsia" w:ascii="宋体" w:hAnsi="宋体" w:eastAsia="宋体" w:cs="宋体"/>
                <w:color w:val="4B4B4B"/>
                <w:kern w:val="0"/>
                <w:sz w:val="21"/>
                <w:szCs w:val="21"/>
              </w:rPr>
            </w:pPr>
            <w:r>
              <w:rPr>
                <w:rFonts w:hint="eastAsia" w:ascii="宋体" w:hAnsi="宋体" w:eastAsia="宋体" w:cs="宋体"/>
                <w:color w:val="4B4B4B"/>
                <w:kern w:val="0"/>
                <w:sz w:val="21"/>
                <w:szCs w:val="21"/>
              </w:rPr>
              <w:t>高等教育</w:t>
            </w:r>
          </w:p>
        </w:tc>
      </w:tr>
      <w:tr>
        <w:tblPrEx>
          <w:tblCellMar>
            <w:top w:w="0" w:type="dxa"/>
            <w:left w:w="0" w:type="dxa"/>
            <w:bottom w:w="0" w:type="dxa"/>
            <w:right w:w="0" w:type="dxa"/>
          </w:tblCellMar>
        </w:tblPrEx>
        <w:trPr>
          <w:tblCellSpacing w:w="0" w:type="dxa"/>
        </w:trPr>
        <w:tc>
          <w:tcPr>
            <w:tcW w:w="500" w:type="pct"/>
          </w:tcPr>
          <w:p>
            <w:pPr>
              <w:widowControl/>
              <w:spacing w:line="375" w:lineRule="atLeast"/>
              <w:jc w:val="left"/>
              <w:rPr>
                <w:rFonts w:hint="eastAsia" w:ascii="宋体" w:hAnsi="宋体" w:eastAsia="宋体" w:cs="宋体"/>
                <w:b/>
                <w:bCs/>
                <w:color w:val="4B4B4B"/>
                <w:kern w:val="0"/>
                <w:sz w:val="21"/>
                <w:szCs w:val="21"/>
              </w:rPr>
            </w:pPr>
            <w:r>
              <w:rPr>
                <w:rFonts w:hint="eastAsia" w:ascii="宋体" w:hAnsi="宋体" w:eastAsia="宋体" w:cs="宋体"/>
                <w:b/>
                <w:bCs/>
                <w:color w:val="4B4B4B"/>
                <w:kern w:val="0"/>
                <w:sz w:val="21"/>
                <w:szCs w:val="21"/>
              </w:rPr>
              <w:t>内容概述：</w:t>
            </w:r>
          </w:p>
        </w:tc>
        <w:tc>
          <w:tcPr>
            <w:tcW w:w="0" w:type="auto"/>
            <w:gridSpan w:val="5"/>
          </w:tcPr>
          <w:p>
            <w:pPr>
              <w:widowControl/>
              <w:spacing w:line="375" w:lineRule="atLeast"/>
              <w:jc w:val="left"/>
              <w:rPr>
                <w:rFonts w:hint="eastAsia" w:ascii="宋体" w:hAnsi="宋体" w:eastAsia="宋体" w:cs="宋体"/>
                <w:color w:val="4B4B4B"/>
                <w:kern w:val="0"/>
                <w:sz w:val="21"/>
                <w:szCs w:val="21"/>
              </w:rPr>
            </w:pPr>
            <w:r>
              <w:rPr>
                <w:rFonts w:hint="eastAsia" w:ascii="宋体" w:hAnsi="宋体" w:eastAsia="宋体" w:cs="宋体"/>
                <w:color w:val="4B4B4B"/>
                <w:kern w:val="0"/>
                <w:sz w:val="21"/>
                <w:szCs w:val="21"/>
              </w:rPr>
              <w:t>教育部印发《普通高等学校思想政治理论课教师队伍培养规划（2019—2023年）》。</w:t>
            </w:r>
          </w:p>
        </w:tc>
      </w:tr>
    </w:tbl>
    <w:p>
      <w:pPr>
        <w:widowControl/>
        <w:shd w:val="clear" w:color="auto" w:fill="FFFFFF"/>
        <w:jc w:val="left"/>
        <w:rPr>
          <w:rFonts w:hint="eastAsia" w:ascii="微软雅黑" w:hAnsi="微软雅黑" w:eastAsia="微软雅黑" w:cs="宋体"/>
          <w:vanish/>
          <w:kern w:val="0"/>
          <w:sz w:val="24"/>
          <w:szCs w:val="24"/>
        </w:rPr>
      </w:pPr>
      <w:r>
        <w:rPr>
          <w:rFonts w:hint="eastAsia" w:ascii="微软雅黑" w:hAnsi="微软雅黑" w:eastAsia="微软雅黑" w:cs="宋体"/>
          <w:vanish/>
          <w:kern w:val="0"/>
          <w:sz w:val="24"/>
          <w:szCs w:val="24"/>
        </w:rPr>
        <w:t>信息公开_部函</w:t>
      </w:r>
    </w:p>
    <w:p>
      <w:pPr>
        <w:widowControl/>
        <w:shd w:val="clear" w:color="auto" w:fill="FFFFFF"/>
        <w:spacing w:before="100" w:beforeAutospacing="1" w:after="100" w:afterAutospacing="1"/>
        <w:jc w:val="center"/>
        <w:outlineLvl w:val="1"/>
        <w:rPr>
          <w:rFonts w:hint="eastAsia" w:ascii="微软雅黑" w:hAnsi="微软雅黑" w:eastAsia="微软雅黑" w:cs="宋体"/>
          <w:b/>
          <w:bCs/>
          <w:color w:val="4B4B4B"/>
          <w:kern w:val="36"/>
          <w:sz w:val="30"/>
          <w:szCs w:val="30"/>
        </w:rPr>
      </w:pPr>
      <w:r>
        <w:rPr>
          <w:rFonts w:hint="eastAsia" w:ascii="微软雅黑" w:hAnsi="微软雅黑" w:eastAsia="微软雅黑" w:cs="宋体"/>
          <w:b/>
          <w:bCs/>
          <w:color w:val="4B4B4B"/>
          <w:kern w:val="36"/>
          <w:sz w:val="30"/>
          <w:szCs w:val="30"/>
        </w:rPr>
        <w:t>教育部关于印发《普通高等学校思想政治理论课</w:t>
      </w:r>
      <w:r>
        <w:rPr>
          <w:rFonts w:hint="eastAsia" w:ascii="微软雅黑" w:hAnsi="微软雅黑" w:eastAsia="微软雅黑" w:cs="宋体"/>
          <w:b/>
          <w:bCs/>
          <w:color w:val="4B4B4B"/>
          <w:kern w:val="36"/>
          <w:sz w:val="30"/>
          <w:szCs w:val="30"/>
        </w:rPr>
        <w:br w:type="textWrapping"/>
      </w:r>
      <w:r>
        <w:rPr>
          <w:rFonts w:hint="eastAsia" w:ascii="微软雅黑" w:hAnsi="微软雅黑" w:eastAsia="微软雅黑" w:cs="宋体"/>
          <w:b/>
          <w:bCs/>
          <w:color w:val="4B4B4B"/>
          <w:kern w:val="36"/>
          <w:sz w:val="30"/>
          <w:szCs w:val="30"/>
        </w:rPr>
        <w:t>教师队伍培养规划（2019—2023年）》的通知</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教社科函〔2019〕10号</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各省、自治区、直辖市教育厅（教委），新疆生产建设兵团教育局，有关部门（单位）教育司（局），部属各高等学校、部省合建各高等学校：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现将《普通高等学校思想政治理论课教师队伍培养规划（2019—2023年）》印发给你们，请结合本地本部门本校实际情况，认真贯彻执行。各地制定的实施方案和政策举措及时报送我部社会科学司。　　　　　　　</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教育部</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2019年4月17日</w:t>
      </w:r>
    </w:p>
    <w:p>
      <w:pPr>
        <w:widowControl/>
        <w:shd w:val="clear" w:color="auto" w:fill="FFFFFF"/>
        <w:spacing w:before="100" w:beforeAutospacing="1" w:after="100" w:afterAutospacing="1" w:line="480" w:lineRule="atLeast"/>
        <w:jc w:val="center"/>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普通高等学校思想政治理论课教师队伍</w:t>
      </w:r>
    </w:p>
    <w:p>
      <w:pPr>
        <w:widowControl/>
        <w:shd w:val="clear" w:color="auto" w:fill="FFFFFF"/>
        <w:spacing w:before="100" w:beforeAutospacing="1" w:after="100" w:afterAutospacing="1" w:line="480" w:lineRule="atLeast"/>
        <w:jc w:val="center"/>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培养规划（2019—2023年）</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为深入贯彻落实全国教育大会、全国高校思想政治工作会议、学校思想政治理论课教师座谈会精神，实施好“新时代高校思想政治理论课创优行动”，建设一支专职为主、专兼结合、数量充足、素质优良的高校思想政治理论课（以下简称思政课）教师队伍，全面推动习近平新时代中国特色社会主义思想进教材进课堂进学生头脑，结合思政课教师队伍建设实际，特制定本规划。</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一、指导思想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坚持以马克思列宁主义、毛泽东思想、邓小平理论、“三个代表”重要思想、科学发展观、习近平新时代中国特色社会主义思想为指导，教育引导广大思政课教师树牢“四个意识”，坚定“四个自信”，坚决做到“两个维护”,用习近平新时代中国特色社会主义思想铸魂育人，贯彻党的教育方针，落实立德树人根本任务,传播知识、传播思想、传播真理，塑造灵魂、塑造生命、塑造新人，努力成为马克思主义理论教育家，培养担当民族复兴大任的时代新人，培养德智体美劳全面发展的社会主义建设者和接班人。</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二、工作目标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进一步完善国家、省（区、市）、校三级思政课教师培养体系，优化培养模式，创新培养举措，丰富培养资源，压实培养责任，使新时代思政课教师理想信念更坚定、马克思主义理论功底更扎实、教书育人水平整体提升，切实做到政治要强、情怀要深、思维要新、视野要广、自律要严、人格要正。在教学改革创新中，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配齐建强思政课教师队伍，努力培养造就数十名国内有广泛影响的思政课名师大家、数百名思政课教学领军人才、数万名思政课教学骨干,推动全国高校思政课教师队伍更平衡更充分发展,整体水平不断提升,切实办好新时代高校思政课。</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三、培养途径和措施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（一）专题理论轮训计划</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紧密围绕习近平新时代中国特色社会主义思想的重大意义、科学体系、精神实质、实践要求，围绕马克思主义基本原理，通过集中培训与经常性教育、部级示范培训与省校专题培训、面对面培训与网络培训、理论学习与实践锻炼等多种方式，推动思政课教师强化马克思主义理论基本功，对习近平新时代中国特色社会主义思想切实做到真学真懂真信真用。</w:t>
      </w:r>
      <w:bookmarkStart w:id="0" w:name="_GoBack"/>
      <w:bookmarkEnd w:id="0"/>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1.开设“周末理论大讲堂”组织马克思主义经典著作专题培训</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面向全国高校思政课教师开设“周末理论大讲堂”,重点进行马克思主义经典著作导读、习近平新时代中国特色社会主义思想研学，利用全国高校思政课教师网络集体备课平台，对每次培训进行现场直播。除去寒暑假外，每周开设一讲，每讲两个小时左右。各地教育工作部门在固定地点组织一定数量骨干教师全程集中学习，加强引导管理。</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2.学习贯彻习近平新时代中国特色社会主义思想专题培训</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按照更好学懂弄通做实的要求，教育部会同有关部门分别面向本专科、研究生各门思政课骨干教师，特别是西部地区高校、高职高专院校思政课骨干教师以及新入职思政课教师开展专题培训。每年举办12期，每期规模为100人，培训时间为3周，每年培训1200人。各地教育工作部门要根据本地思政课教师队伍建设实际制定培训计划，每年举办专题培训。</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3.“习近平新时代中国特色社会主义思想的生动实践”专题实践研修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专题研修。教育部、中央宣传部每年暑期以“习近平新时代中国特色社会主义思想的生动实践”为主题开展专题研修，结合中华人民共和国成立70周年、中国共产党成立100周年等重大节庆活动，每年组织400名教师赴“教育部高校思想政治理论课教师研修基地”进行专题研修，培训时间为7天。各地各高校可依托教育部及省级高校思政课教师研修基地组织开展社会实践研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实践研学。教育部会同有关部门签署合作协议，在高铁、桥梁、港口等国家基础设施建设和航天、潜海等重大科技成果取得世界领先成就的单位设立一批“新时代高校思政课教师研学基地”。各地各高校五年内组织思政课教师每人至少参加一次实践研学。</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（二）示范培训计划</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1.思政课教师队伍后备人才培养专项支持计划</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依托拥有马克思主义理论一级学科博士学位授权点高校，实施马克思主义理论学科博士、硕士层次人才培养专项支持计划,扩大马克思主义理论学科研究生培养规模，推动马克思主义理论本、硕、博一体化人才培养。依托“全国高校思政课教师网络集体备课平台”，组织专项支持计划实施高校马克思主义理论学科博士研究生参加马克思主义经典著作导读、习近平新时代中国特色社会主义思想研究两门必修课集中统一学习。</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2.骨干教师研修项目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国内研修项目。继续办好高校思政课骨干教师研修班，在培训对象、培训课程、培训师资、培训基地等方面突出精准要求，在中央马克思主义理论研究和建设工程统编高校思政课教材（2018年版）由教材体系向教学体系转化上下功夫，在找准、讲清、讲透思想理论教育和“00后”大学生理论兴趣的共鸣点上下功夫。各地各高校要根据培训任务，精心选派符合条件、能发挥示范带动作用的骨干教师参加培训，实现五年内全国所有普通高校培训全覆盖，每所高校至少有2位教师参加国内研修项目。要引导参训教师切实发挥传帮带作用，在教研室等举办“三集三提”活动，即集中研讨提问题、集中备课提质量、集中培训提素质，不断扩大国家级示范培训的影响面。</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（2）国外研修项目。每年遴选若干名高校思政课拔尖教师，以公派访问学者身份赴国外进行6至12个月访学研修。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网络培训项目。依托“全国高校思政课教师网络集体备课平台”，根据培训需要及时开展网络直播培训，每年直播50场次以上，覆盖全国高校思政课专兼职教师。开发在线学习频道，供思政课教师自主选学、精细备课。</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3.思政课教师在职攻读博士项目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每年依托全国高校第一批19个马克思主义理论一级学科博士点，招收100名从事高校思政课专职教学5年以上的在岗教师在职攻读马克思主义理论学科博士学位。</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4.思政课教师省校协作培训项目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指导部分教育部高校思政课教师理论研修、教学研修、实践研修基地充分发挥学科优势、平台优势、队伍优势，与省级教育工作部门建立省校协作机制，省级教育工作部门集中选派思政课教师到基地进行专题培训，创新示范培训方式，扩大研修基地培训工作覆盖面。</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5.思政课教师校际协作项目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进一步加强高校马克思主义学院对口支援建设工作指导，鼓励支持全国重点马克思主义学院、教育部示范马克思主义学院精准对口支援西部高校马克思主义学院。鼓励各高校建立校际协作机制，通过挂职、支教、进修等方式，共同开展教学研讨、共同组织课题研究、共同进行人才培养，推动思政课教师队伍均衡发展。</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（三）项目资助计划</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1.全国高校思政课教学科研团队“择优支持”项目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每年择优支持30个左右优秀思政课教学科研团队，围绕高校思政课建设重大理论和实践问题开展团队攻关。每个项目资助经费40万元，资助期限一般为3年。</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2.全国高校“思政课教师名师工作室”项目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每年遴选建设10个左右“名师工作室”项目，培养骨干教师、开展教学研究、推广教学经验。每个“名师工作室”项目资助经费40万元，建设周期一般为3年。</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3.全国高校优秀中青年思政课教师“择优资助”项目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每年遴选50名左右教学业绩突出、科研潜力较大、创新能力较强的优秀思政课中青年教师，每位教师资助经费20万元，资助期限一般为3年。鼓励各地各高校采取挂职锻炼、社会实践等方式对优秀中青年教师予以重点培养。</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4.全国高校思政课教学方法改革“择优推广”项目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每年遴选20项左右教学方法新、教学效果好、受学生欢迎的优秀思政课教学方法改革项目。每个项目资助经费5万元，资助期限1—2年。</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5.全国高校思政课示范教学科研团队建设“西部项目”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每年支持10个左右“西部大开发战略”所涵盖的12个省（区、市）和新疆生产建设兵团高校思政课教学科研团队。每个项目资助经费40万元，资助期限一般为3年。</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6.全国高校思政课教学研究项目</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每年设立不少于100项，针对思政课教学中的重点、难点、热点问题开展研究，加强优质教学资源建设。每个项目资助经费10万元，资助期限1—2年。</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（四）宣传推广计划</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1.全国高校思政课示范教学展示活动</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从2019年起，每2年分专题组织开展一次全国高校思政课示范教学展示活动，将优秀教学录像、课件、教案进行集中展示，表彰一批政治立场坚定、师德师风过硬、理论功底扎实、教学理念先进、育人效果突出的优秀思政课教师，培育推广“配方新颖、工艺精湛、包装时尚、终身受用”的品牌课，充分发挥示范教学的引领作用。</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2.全国高校思政课教师队伍建设先进经验宣传</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与中央主流媒体合作，持续宣传思政课教师队伍建设站位高、保障硬、工作实、业绩佳的地方和高校；持续宣传一批基层党建强、团队文化优、教学水平高、社会影响好的思政课教学科研团队；持续宣传一批政治素质过硬、业务能力精湛、育人水平高超的思政课教师。各地各高校要主动与中央及省（区、市）主流媒体合作，宣传推广思政课教师队伍建设先进经验，为思政课教师发展营造良好氛围。</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四、组织领导和实施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本规划由教育部负责组织实施。各地各高校要结合本地本校实际认真贯彻落实。要建设一批省级思政课教师研修基地，设立一批思政课教师专项培养资助项目，切实加大政策、资金支持力度，实现思政课教师综合素养持续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6F"/>
    <w:rsid w:val="00341D0E"/>
    <w:rsid w:val="00BF3E6F"/>
    <w:rsid w:val="00C1524A"/>
    <w:rsid w:val="0BD8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4057</Words>
  <Characters>4180</Characters>
  <Lines>31</Lines>
  <Paragraphs>8</Paragraphs>
  <TotalTime>3</TotalTime>
  <ScaleCrop>false</ScaleCrop>
  <LinksUpToDate>false</LinksUpToDate>
  <CharactersWithSpaces>4289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2020-11-28T04:24:00Z</dcterms:created>
  <dc:creator>ManXinQi</dc:creator>
  <cp:lastModifiedBy>qzuser</cp:lastModifiedBy>
  <dcterms:modified xsi:type="dcterms:W3CDTF">2023-04-21T07:49:10Z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4BAED35B835D4CAB9DFF4043F9271006_13</vt:lpwstr>
  </property>
</Properties>
</file>